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4EB83">
      <w:pPr>
        <w:spacing w:line="420" w:lineRule="atLeast"/>
        <w:ind w:firstLine="453" w:firstLineChars="189"/>
        <w:jc w:val="left"/>
        <w:rPr>
          <w:rFonts w:hint="eastAsia" w:ascii="宋体" w:hAnsi="宋体"/>
          <w:color w:val="auto"/>
          <w:sz w:val="24"/>
        </w:rPr>
      </w:pPr>
    </w:p>
    <w:p w14:paraId="3AD17194">
      <w:pPr>
        <w:jc w:val="center"/>
        <w:rPr>
          <w:rFonts w:ascii="宋体" w:hAnsi="宋体"/>
          <w:b/>
          <w:sz w:val="32"/>
          <w:szCs w:val="32"/>
        </w:rPr>
      </w:pPr>
      <w:r>
        <w:rPr>
          <w:rFonts w:hint="eastAsia" w:ascii="宋体" w:hAnsi="宋体"/>
          <w:b/>
          <w:sz w:val="28"/>
          <w:szCs w:val="28"/>
        </w:rPr>
        <w:t>服务类采购项目需求表</w:t>
      </w:r>
    </w:p>
    <w:p w14:paraId="188C2776">
      <w:pPr>
        <w:numPr>
          <w:ilvl w:val="0"/>
          <w:numId w:val="1"/>
        </w:numPr>
        <w:spacing w:line="420" w:lineRule="atLeast"/>
        <w:ind w:firstLine="455" w:firstLineChars="189"/>
        <w:jc w:val="left"/>
        <w:rPr>
          <w:rFonts w:hint="eastAsia" w:asciiTheme="majorEastAsia" w:hAnsiTheme="majorEastAsia" w:eastAsiaTheme="majorEastAsia"/>
          <w:b/>
          <w:sz w:val="24"/>
        </w:rPr>
      </w:pP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11F0771C">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1、项目名称：</w:t>
      </w:r>
      <w:r>
        <w:rPr>
          <w:rFonts w:hint="eastAsia" w:asciiTheme="majorEastAsia" w:hAnsiTheme="majorEastAsia" w:eastAsiaTheme="majorEastAsia"/>
          <w:color w:val="000000" w:themeColor="text1"/>
          <w:sz w:val="24"/>
          <w:lang w:val="en-US" w:eastAsia="zh-CN"/>
          <w14:textFill>
            <w14:solidFill>
              <w14:schemeClr w14:val="tx1"/>
            </w14:solidFill>
          </w14:textFill>
        </w:rPr>
        <w:t>后勤服务中心2026年度</w:t>
      </w:r>
      <w:r>
        <w:rPr>
          <w:rFonts w:hint="eastAsia" w:asciiTheme="majorEastAsia" w:hAnsiTheme="majorEastAsia" w:eastAsiaTheme="majorEastAsia"/>
          <w:color w:val="000000" w:themeColor="text1"/>
          <w:sz w:val="24"/>
          <w14:textFill>
            <w14:solidFill>
              <w14:schemeClr w14:val="tx1"/>
            </w14:solidFill>
          </w14:textFill>
        </w:rPr>
        <w:t>工程审计服务项目</w:t>
      </w:r>
    </w:p>
    <w:p w14:paraId="668A4FBD">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2、服务内容：徐州工业职业技术学院委托的预算</w:t>
      </w:r>
      <w:r>
        <w:rPr>
          <w:rFonts w:hint="eastAsia" w:asciiTheme="majorEastAsia" w:hAnsiTheme="majorEastAsia" w:eastAsiaTheme="majorEastAsia"/>
          <w:color w:val="000000" w:themeColor="text1"/>
          <w:sz w:val="24"/>
          <w:lang w:val="en-US" w:eastAsia="zh-CN"/>
          <w14:textFill>
            <w14:solidFill>
              <w14:schemeClr w14:val="tx1"/>
            </w14:solidFill>
          </w14:textFill>
        </w:rPr>
        <w:t>编制</w:t>
      </w:r>
      <w:r>
        <w:rPr>
          <w:rFonts w:hint="eastAsia" w:asciiTheme="majorEastAsia" w:hAnsiTheme="majorEastAsia" w:eastAsiaTheme="majorEastAsia"/>
          <w:color w:val="000000" w:themeColor="text1"/>
          <w:sz w:val="24"/>
          <w14:textFill>
            <w14:solidFill>
              <w14:schemeClr w14:val="tx1"/>
            </w14:solidFill>
          </w14:textFill>
        </w:rPr>
        <w:t>、结算审核等服务</w:t>
      </w:r>
    </w:p>
    <w:p w14:paraId="5AE5ACB2">
      <w:pPr>
        <w:tabs>
          <w:tab w:val="left" w:pos="1177"/>
          <w:tab w:val="left" w:pos="1498"/>
        </w:tabs>
        <w:spacing w:line="420" w:lineRule="atLeast"/>
        <w:ind w:firstLine="480" w:firstLineChars="200"/>
        <w:rPr>
          <w:rFonts w:hint="eastAsia" w:ascii="宋体" w:hAnsi="宋体"/>
          <w:b/>
          <w:bCs/>
          <w:color w:val="0000FF"/>
          <w:sz w:val="24"/>
          <w:szCs w:val="24"/>
          <w:u w:val="single" w:color="auto"/>
          <w:lang w:val="en-US" w:eastAsia="zh-CN"/>
        </w:rPr>
      </w:pPr>
      <w:r>
        <w:rPr>
          <w:rFonts w:hint="eastAsia" w:asciiTheme="majorEastAsia" w:hAnsiTheme="majorEastAsia" w:eastAsiaTheme="majorEastAsia"/>
          <w:color w:val="000000" w:themeColor="text1"/>
          <w:sz w:val="24"/>
          <w14:textFill>
            <w14:solidFill>
              <w14:schemeClr w14:val="tx1"/>
            </w14:solidFill>
          </w14:textFill>
        </w:rPr>
        <w:t>3、项目地点：徐州工业职业技术学院</w:t>
      </w:r>
      <w:r>
        <w:rPr>
          <w:rFonts w:hint="eastAsia" w:asciiTheme="majorEastAsia" w:hAnsiTheme="majorEastAsia" w:eastAsiaTheme="majorEastAsia"/>
          <w:color w:val="000000" w:themeColor="text1"/>
          <w:sz w:val="24"/>
          <w:lang w:val="en-US" w:eastAsia="zh-CN"/>
          <w14:textFill>
            <w14:solidFill>
              <w14:schemeClr w14:val="tx1"/>
            </w14:solidFill>
          </w14:textFill>
        </w:rPr>
        <w:t>九里</w:t>
      </w:r>
      <w:r>
        <w:rPr>
          <w:rFonts w:hint="eastAsia" w:ascii="宋体" w:hAnsi="宋体"/>
          <w:b/>
          <w:bCs/>
          <w:color w:val="0000FF"/>
          <w:sz w:val="24"/>
          <w:szCs w:val="24"/>
          <w:u w:val="single" w:color="auto"/>
          <w:lang w:val="en-US" w:eastAsia="zh-CN"/>
        </w:rPr>
        <w:t>及新沂校区</w:t>
      </w:r>
    </w:p>
    <w:p w14:paraId="634D763F">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4、本次采购项目择优选定</w:t>
      </w:r>
      <w:r>
        <w:rPr>
          <w:rFonts w:hint="eastAsia" w:asciiTheme="majorEastAsia" w:hAnsiTheme="majorEastAsia" w:eastAsiaTheme="majorEastAsia"/>
          <w:color w:val="000000" w:themeColor="text1"/>
          <w:sz w:val="24"/>
          <w:lang w:val="en-US" w:eastAsia="zh-CN"/>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家服务单位。</w:t>
      </w:r>
    </w:p>
    <w:p w14:paraId="08088A7A">
      <w:pPr>
        <w:tabs>
          <w:tab w:val="left" w:pos="1177"/>
          <w:tab w:val="left" w:pos="1498"/>
        </w:tabs>
        <w:spacing w:line="420" w:lineRule="atLeast"/>
        <w:ind w:firstLine="480" w:firstLineChars="200"/>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5、服务时间：</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月至202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p>
    <w:p w14:paraId="7924C4B8">
      <w:pPr>
        <w:snapToGrid w:val="0"/>
        <w:spacing w:line="420" w:lineRule="atLeast"/>
        <w:ind w:firstLine="482" w:firstLineChars="200"/>
        <w:rPr>
          <w:rFonts w:ascii="宋体" w:hAnsi="宋体" w:cs="宋体"/>
          <w:b/>
          <w:color w:val="auto"/>
          <w:sz w:val="24"/>
          <w:szCs w:val="24"/>
        </w:rPr>
      </w:pPr>
      <w:r>
        <w:rPr>
          <w:rFonts w:hint="eastAsia" w:ascii="宋体" w:hAnsi="宋体" w:cs="宋体"/>
          <w:b/>
          <w:color w:val="auto"/>
          <w:sz w:val="24"/>
          <w:szCs w:val="24"/>
          <w:lang w:val="en-US" w:eastAsia="zh-CN"/>
        </w:rPr>
        <w:t>二</w:t>
      </w:r>
      <w:r>
        <w:rPr>
          <w:rFonts w:hint="eastAsia" w:ascii="宋体" w:hAnsi="宋体" w:cs="宋体"/>
          <w:b/>
          <w:color w:val="auto"/>
          <w:sz w:val="24"/>
          <w:szCs w:val="24"/>
        </w:rPr>
        <w:t>、服务范围和内容：</w:t>
      </w:r>
    </w:p>
    <w:p w14:paraId="0B768A50">
      <w:pPr>
        <w:widowControl w:val="0"/>
        <w:tabs>
          <w:tab w:val="left" w:pos="1177"/>
          <w:tab w:val="left" w:pos="1498"/>
        </w:tabs>
        <w:spacing w:line="400" w:lineRule="atLeast"/>
        <w:ind w:firstLine="480" w:firstLineChars="200"/>
        <w:jc w:val="left"/>
        <w:textAlignment w:val="auto"/>
        <w:rPr>
          <w:rFonts w:hint="eastAsia" w:ascii="宋体" w:hAnsi="宋体"/>
          <w:color w:val="auto"/>
          <w:sz w:val="24"/>
        </w:rPr>
      </w:pPr>
      <w:r>
        <w:rPr>
          <w:rFonts w:hint="eastAsia" w:ascii="宋体" w:hAnsi="宋体"/>
          <w:color w:val="auto"/>
          <w:sz w:val="24"/>
        </w:rPr>
        <w:t>工程项目控制价编制及小型（单项造价2万元以内）工程</w:t>
      </w:r>
      <w:r>
        <w:rPr>
          <w:rFonts w:hint="eastAsia" w:ascii="宋体" w:hAnsi="宋体"/>
          <w:color w:val="auto"/>
          <w:sz w:val="24"/>
          <w:lang w:val="en-US" w:eastAsia="zh-CN"/>
        </w:rPr>
        <w:t>项目</w:t>
      </w:r>
      <w:r>
        <w:rPr>
          <w:rFonts w:hint="eastAsia" w:ascii="宋体" w:hAnsi="宋体"/>
          <w:color w:val="auto"/>
          <w:sz w:val="24"/>
        </w:rPr>
        <w:t>结算审核，需要选择三家工程造价咨询单位入围该项目服务库。服务期限：自202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月至202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31日</w:t>
      </w:r>
      <w:r>
        <w:rPr>
          <w:rFonts w:hint="eastAsia" w:ascii="宋体" w:hAnsi="宋体"/>
          <w:color w:val="auto"/>
          <w:sz w:val="24"/>
        </w:rPr>
        <w:t>止，服务期限为</w:t>
      </w:r>
      <w:r>
        <w:rPr>
          <w:rFonts w:hint="eastAsia" w:ascii="宋体" w:hAnsi="宋体"/>
          <w:color w:val="auto"/>
          <w:sz w:val="24"/>
          <w:lang w:val="en-US" w:eastAsia="zh-CN"/>
        </w:rPr>
        <w:t>一</w:t>
      </w:r>
      <w:r>
        <w:rPr>
          <w:rFonts w:hint="eastAsia" w:ascii="宋体" w:hAnsi="宋体"/>
          <w:color w:val="auto"/>
          <w:sz w:val="24"/>
        </w:rPr>
        <w:t>年。</w:t>
      </w:r>
    </w:p>
    <w:p w14:paraId="30EB08AE">
      <w:pPr>
        <w:widowControl w:val="0"/>
        <w:tabs>
          <w:tab w:val="left" w:pos="1177"/>
          <w:tab w:val="left" w:pos="1498"/>
        </w:tabs>
        <w:spacing w:line="400" w:lineRule="atLeast"/>
        <w:ind w:firstLine="480" w:firstLineChars="200"/>
        <w:jc w:val="left"/>
        <w:textAlignment w:val="auto"/>
        <w:rPr>
          <w:rFonts w:hint="default" w:ascii="宋体" w:hAnsi="宋体" w:eastAsia="宋体"/>
          <w:color w:val="auto"/>
          <w:sz w:val="30"/>
          <w:szCs w:val="30"/>
          <w:lang w:val="en-US" w:eastAsia="zh-CN"/>
        </w:rPr>
      </w:pPr>
      <w:r>
        <w:rPr>
          <w:rFonts w:hint="eastAsia" w:ascii="宋体" w:hAnsi="宋体"/>
          <w:color w:val="auto"/>
          <w:sz w:val="24"/>
        </w:rPr>
        <w:t>主要服务内容：1、工程量清单及控制价编制；2、合同造价2万元以内单项工程结算审核；</w:t>
      </w:r>
      <w:r>
        <w:rPr>
          <w:rFonts w:hint="eastAsia" w:ascii="宋体" w:hAnsi="宋体"/>
          <w:color w:val="auto"/>
          <w:sz w:val="24"/>
          <w:lang w:val="en-US" w:eastAsia="zh-CN"/>
        </w:rPr>
        <w:t>3、材料认质认价。</w:t>
      </w:r>
    </w:p>
    <w:p w14:paraId="151F6A43">
      <w:pPr>
        <w:snapToGrid w:val="0"/>
        <w:spacing w:line="420" w:lineRule="atLeast"/>
        <w:ind w:firstLine="482" w:firstLineChars="200"/>
        <w:rPr>
          <w:rFonts w:ascii="宋体" w:hAnsi="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cs="宋体"/>
          <w:b/>
          <w:color w:val="auto"/>
          <w:sz w:val="24"/>
          <w:szCs w:val="24"/>
        </w:rPr>
        <w:t>、服务要求：</w:t>
      </w:r>
    </w:p>
    <w:p w14:paraId="3407E6FB">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1.人员要求</w:t>
      </w:r>
    </w:p>
    <w:p w14:paraId="6B8BE0E6">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（1）投标人项目负责人必须具有造价工程师（一级）执业资格，具有较强业务能力和组织协调能力，具有</w:t>
      </w:r>
      <w:r>
        <w:rPr>
          <w:rFonts w:hint="eastAsia" w:ascii="宋体" w:hAnsi="宋体"/>
          <w:color w:val="auto"/>
          <w:sz w:val="24"/>
          <w:szCs w:val="24"/>
          <w:lang w:val="en-US" w:eastAsia="zh-CN"/>
        </w:rPr>
        <w:t>8</w:t>
      </w:r>
      <w:r>
        <w:rPr>
          <w:rFonts w:hint="eastAsia" w:ascii="宋体" w:hAnsi="宋体"/>
          <w:color w:val="auto"/>
          <w:sz w:val="24"/>
          <w:szCs w:val="24"/>
        </w:rPr>
        <w:t>年及以上从事工程造价咨询工作的经验</w:t>
      </w:r>
      <w:r>
        <w:rPr>
          <w:rFonts w:hint="eastAsia" w:ascii="宋体" w:hAnsi="宋体"/>
          <w:color w:val="auto"/>
          <w:sz w:val="24"/>
          <w:szCs w:val="24"/>
          <w:lang w:eastAsia="zh-CN"/>
        </w:rPr>
        <w:t>（</w:t>
      </w:r>
      <w:r>
        <w:rPr>
          <w:rFonts w:hint="eastAsia" w:ascii="宋体" w:hAnsi="宋体"/>
          <w:color w:val="auto"/>
          <w:sz w:val="24"/>
          <w:szCs w:val="24"/>
          <w:lang w:val="en-US" w:eastAsia="zh-CN"/>
        </w:rPr>
        <w:t>以相关专业毕业时间为准</w:t>
      </w:r>
      <w:r>
        <w:rPr>
          <w:rFonts w:hint="eastAsia" w:ascii="宋体" w:hAnsi="宋体"/>
          <w:color w:val="auto"/>
          <w:sz w:val="24"/>
          <w:szCs w:val="24"/>
          <w:lang w:eastAsia="zh-CN"/>
        </w:rPr>
        <w:t>）</w:t>
      </w:r>
      <w:r>
        <w:rPr>
          <w:rFonts w:hint="eastAsia" w:ascii="宋体" w:hAnsi="宋体"/>
          <w:color w:val="auto"/>
          <w:sz w:val="24"/>
          <w:szCs w:val="24"/>
        </w:rPr>
        <w:t>。</w:t>
      </w:r>
    </w:p>
    <w:p w14:paraId="0B38E4D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（2）具有履行合同所必需的设备和专业技术能力，注册造价师人数不少于5名。</w:t>
      </w:r>
    </w:p>
    <w:p w14:paraId="6A4377C6">
      <w:p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（3）项目组成员须至少具有造价工程师（二级）或造价员资质，具有本专业的熟练操作能力，具有良好的思想品德、专业业务素质、工作协调能力。具有</w:t>
      </w:r>
    </w:p>
    <w:p w14:paraId="1559BD49">
      <w:pPr>
        <w:snapToGrid w:val="0"/>
        <w:spacing w:line="420" w:lineRule="atLeas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r>
        <w:rPr>
          <w:rFonts w:hint="eastAsia" w:ascii="宋体" w:hAnsi="宋体"/>
          <w:color w:val="auto"/>
          <w:sz w:val="24"/>
          <w:szCs w:val="24"/>
        </w:rPr>
        <w:t>年及以上从事工程造价咨询工作的经验</w:t>
      </w:r>
      <w:r>
        <w:rPr>
          <w:rFonts w:hint="eastAsia" w:ascii="宋体" w:hAnsi="宋体"/>
          <w:color w:val="auto"/>
          <w:sz w:val="24"/>
          <w:szCs w:val="24"/>
          <w:lang w:eastAsia="zh-CN"/>
        </w:rPr>
        <w:t>（</w:t>
      </w:r>
      <w:r>
        <w:rPr>
          <w:rFonts w:hint="eastAsia" w:ascii="宋体" w:hAnsi="宋体"/>
          <w:color w:val="auto"/>
          <w:sz w:val="24"/>
          <w:szCs w:val="24"/>
          <w:lang w:val="en-US" w:eastAsia="zh-CN"/>
        </w:rPr>
        <w:t>以相关专业毕业时间为准</w:t>
      </w:r>
      <w:r>
        <w:rPr>
          <w:rFonts w:hint="eastAsia" w:ascii="宋体" w:hAnsi="宋体"/>
          <w:color w:val="auto"/>
          <w:sz w:val="24"/>
          <w:szCs w:val="24"/>
          <w:lang w:eastAsia="zh-CN"/>
        </w:rPr>
        <w:t>）。</w:t>
      </w:r>
    </w:p>
    <w:p w14:paraId="613167D9">
      <w:pPr>
        <w:numPr>
          <w:ilvl w:val="0"/>
          <w:numId w:val="2"/>
        </w:num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项目组人员必须是投标单位在聘的合同制人员，并有良好的职业道德、较强的工作责任感和敬业精神。</w:t>
      </w:r>
    </w:p>
    <w:p w14:paraId="2EC5B069">
      <w:pPr>
        <w:numPr>
          <w:ilvl w:val="0"/>
          <w:numId w:val="2"/>
        </w:num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项目组成员人数(包含项目负责人)不低于5人，项目组人员</w:t>
      </w:r>
      <w:r>
        <w:rPr>
          <w:rFonts w:hint="eastAsia" w:ascii="宋体" w:hAnsi="宋体"/>
          <w:color w:val="auto"/>
          <w:sz w:val="24"/>
          <w:szCs w:val="24"/>
          <w:lang w:val="en-US" w:eastAsia="zh-CN"/>
        </w:rPr>
        <w:t>1</w:t>
      </w:r>
      <w:r>
        <w:rPr>
          <w:rFonts w:hint="eastAsia" w:ascii="宋体" w:hAnsi="宋体"/>
          <w:color w:val="auto"/>
          <w:sz w:val="24"/>
          <w:szCs w:val="24"/>
        </w:rPr>
        <w:t>年内不得调整。</w:t>
      </w:r>
    </w:p>
    <w:p w14:paraId="19FC642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2.工作程序及质量要求</w:t>
      </w:r>
    </w:p>
    <w:p w14:paraId="670AB898">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(1)后勤服务中心按照公平、公正的原则，安排具体委托项目；</w:t>
      </w:r>
    </w:p>
    <w:p w14:paraId="2E262760">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(2)委托审计项目确定后，由后勤服务中心下达项目委托书，并指定内部项目负责人，由其负责对委托咨询项目的质量进行控制和考核。</w:t>
      </w:r>
    </w:p>
    <w:p w14:paraId="53C4598D">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①不能按照约定派出咨询项目负责人或造价工程师；</w:t>
      </w:r>
    </w:p>
    <w:p w14:paraId="7FDC178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②将咨询业务转让其他造价咨询单位实施；</w:t>
      </w:r>
    </w:p>
    <w:p w14:paraId="0E3E9A61">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③不能按照约定时间完成咨询任务；</w:t>
      </w:r>
    </w:p>
    <w:p w14:paraId="3212C7E7">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④不服从内部项目负责人管理和协调；</w:t>
      </w:r>
    </w:p>
    <w:p w14:paraId="783D27A6">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3.纪律要求</w:t>
      </w:r>
    </w:p>
    <w:p w14:paraId="2573DE1D">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(1)中标人不得转包工程咨询项目，否则招标人有权单方面解除委托合同。</w:t>
      </w:r>
    </w:p>
    <w:p w14:paraId="7C2AE553">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(2)投标人在履行合同期间或合同规定期限内，须对在咨询业务过程中知悉的商业秘密或委托方要求保密的事项保密。</w:t>
      </w:r>
    </w:p>
    <w:p w14:paraId="497C81A1">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(3)投标人不得对招标人搞请客、送礼等不正之风，否则招标人有权取消投标人的中标资格。</w:t>
      </w:r>
    </w:p>
    <w:p w14:paraId="57B5E2DF">
      <w:pPr>
        <w:snapToGrid w:val="0"/>
        <w:spacing w:line="420" w:lineRule="atLeast"/>
        <w:ind w:firstLine="482" w:firstLineChars="200"/>
        <w:rPr>
          <w:rFonts w:ascii="宋体" w:hAnsi="宋体"/>
          <w:b/>
          <w:color w:val="auto"/>
          <w:sz w:val="24"/>
          <w:szCs w:val="24"/>
        </w:rPr>
      </w:pPr>
      <w:r>
        <w:rPr>
          <w:rFonts w:hint="eastAsia" w:ascii="宋体" w:hAnsi="宋体"/>
          <w:b/>
          <w:color w:val="auto"/>
          <w:sz w:val="24"/>
          <w:szCs w:val="24"/>
        </w:rPr>
        <w:t>注：以上服务要求必须满足，不得有负偏离，如有负偏离则视为不能满足采购方需求而拒绝其参与投标。</w:t>
      </w:r>
    </w:p>
    <w:p w14:paraId="326EA6CA">
      <w:pPr>
        <w:snapToGrid w:val="0"/>
        <w:spacing w:line="420" w:lineRule="atLeast"/>
        <w:ind w:firstLine="482" w:firstLineChars="200"/>
        <w:rPr>
          <w:rFonts w:ascii="宋体" w:hAnsi="宋体"/>
          <w:b/>
          <w:color w:val="auto"/>
          <w:sz w:val="24"/>
          <w:szCs w:val="24"/>
        </w:rPr>
      </w:pPr>
      <w:r>
        <w:rPr>
          <w:rFonts w:hint="eastAsia" w:ascii="宋体" w:hAnsi="宋体"/>
          <w:b/>
          <w:color w:val="auto"/>
          <w:sz w:val="24"/>
          <w:szCs w:val="24"/>
          <w:lang w:val="en-US" w:eastAsia="zh-CN"/>
        </w:rPr>
        <w:t>四</w:t>
      </w:r>
      <w:r>
        <w:rPr>
          <w:rFonts w:hint="eastAsia" w:ascii="宋体" w:hAnsi="宋体"/>
          <w:b/>
          <w:color w:val="auto"/>
          <w:sz w:val="24"/>
          <w:szCs w:val="24"/>
        </w:rPr>
        <w:t>、投标报价要求：</w:t>
      </w:r>
    </w:p>
    <w:p w14:paraId="4C761C5E">
      <w:pPr>
        <w:snapToGrid w:val="0"/>
        <w:spacing w:line="420" w:lineRule="atLeast"/>
        <w:ind w:firstLine="480" w:firstLineChars="200"/>
        <w:rPr>
          <w:rFonts w:ascii="宋体" w:hAnsi="宋体"/>
          <w:b/>
          <w:bCs/>
          <w:color w:val="0000FF"/>
          <w:sz w:val="24"/>
          <w:szCs w:val="24"/>
          <w:u w:val="single" w:color="auto"/>
        </w:rPr>
      </w:pPr>
      <w:r>
        <w:rPr>
          <w:rFonts w:hint="eastAsia" w:ascii="宋体" w:hAnsi="宋体"/>
          <w:sz w:val="24"/>
          <w:szCs w:val="24"/>
        </w:rPr>
        <w:t>1、投标报价应包括完成招标文件所确定的委托咨询范围和咨询业务范围内所需的全部费用，</w:t>
      </w:r>
      <w:r>
        <w:rPr>
          <w:rFonts w:hint="eastAsia" w:ascii="宋体" w:hAnsi="宋体"/>
          <w:b/>
          <w:bCs/>
          <w:color w:val="0000FF"/>
          <w:sz w:val="24"/>
          <w:szCs w:val="24"/>
          <w:u w:val="single" w:color="auto"/>
        </w:rPr>
        <w:t>所发生的交通费、住宿费、通行费、餐费等费用由受托人单位自行解决。</w:t>
      </w:r>
    </w:p>
    <w:p w14:paraId="79CAE71E">
      <w:pPr>
        <w:snapToGrid w:val="0"/>
        <w:spacing w:line="420" w:lineRule="atLeast"/>
        <w:ind w:firstLine="480" w:firstLineChars="200"/>
        <w:rPr>
          <w:rFonts w:ascii="宋体" w:hAnsi="宋体"/>
          <w:sz w:val="24"/>
          <w:szCs w:val="24"/>
          <w:highlight w:val="none"/>
        </w:rPr>
      </w:pPr>
      <w:r>
        <w:rPr>
          <w:rFonts w:hint="eastAsia" w:ascii="宋体" w:hAnsi="宋体"/>
          <w:color w:val="auto"/>
          <w:sz w:val="24"/>
          <w:szCs w:val="24"/>
          <w:highlight w:val="none"/>
        </w:rPr>
        <w:t>2、咨询服务费用以</w:t>
      </w:r>
      <w:r>
        <w:rPr>
          <w:rFonts w:hint="eastAsia" w:ascii="宋体" w:hAnsi="宋体"/>
          <w:color w:val="auto"/>
          <w:sz w:val="24"/>
          <w:szCs w:val="24"/>
          <w:highlight w:val="none"/>
          <w:lang w:val="en-US" w:eastAsia="zh-CN"/>
        </w:rPr>
        <w:t>江苏省工程造价咨询服务收费最新</w:t>
      </w:r>
      <w:r>
        <w:rPr>
          <w:rFonts w:hint="eastAsia" w:ascii="宋体" w:hAnsi="宋体"/>
          <w:color w:val="auto"/>
          <w:sz w:val="24"/>
          <w:szCs w:val="24"/>
          <w:highlight w:val="none"/>
        </w:rPr>
        <w:t>取费标准为控制限价，</w:t>
      </w:r>
      <w:r>
        <w:rPr>
          <w:rFonts w:hint="eastAsia" w:ascii="宋体" w:hAnsi="宋体"/>
          <w:sz w:val="24"/>
          <w:szCs w:val="24"/>
          <w:highlight w:val="none"/>
        </w:rPr>
        <w:t>投标人结合本单位及工程实际，充分考虑市场情况，竞报承担工程的相应费率和金额。投标报价为招标人的支付费率或金额，并充分考虑招标文件、合同中</w:t>
      </w:r>
      <w:r>
        <w:rPr>
          <w:rFonts w:hint="eastAsia" w:ascii="宋体" w:hAnsi="宋体"/>
          <w:sz w:val="24"/>
          <w:szCs w:val="24"/>
          <w:highlight w:val="none"/>
          <w:lang w:val="en-US" w:eastAsia="zh-CN"/>
        </w:rPr>
        <w:t>体现的</w:t>
      </w:r>
      <w:r>
        <w:rPr>
          <w:rFonts w:hint="eastAsia" w:ascii="宋体" w:hAnsi="宋体"/>
          <w:sz w:val="24"/>
          <w:szCs w:val="24"/>
          <w:highlight w:val="none"/>
        </w:rPr>
        <w:t>一切费用与价格。</w:t>
      </w:r>
    </w:p>
    <w:p w14:paraId="31A6E7AB">
      <w:pPr>
        <w:snapToGrid w:val="0"/>
        <w:spacing w:line="420" w:lineRule="atLeast"/>
        <w:ind w:firstLine="480" w:firstLineChars="200"/>
        <w:rPr>
          <w:rFonts w:ascii="宋体" w:hAnsi="宋体"/>
          <w:sz w:val="24"/>
          <w:szCs w:val="24"/>
        </w:rPr>
      </w:pPr>
      <w:r>
        <w:rPr>
          <w:rFonts w:hint="eastAsia" w:ascii="宋体" w:hAnsi="宋体"/>
          <w:sz w:val="24"/>
          <w:szCs w:val="24"/>
        </w:rPr>
        <w:t>3、中标酬金率和最低酬金在合同实施期间不因市场和政策变化因素而变动。</w:t>
      </w:r>
    </w:p>
    <w:p w14:paraId="2A9ECC4E">
      <w:pPr>
        <w:snapToGrid w:val="0"/>
        <w:spacing w:line="420" w:lineRule="atLeast"/>
        <w:ind w:firstLine="480" w:firstLineChars="200"/>
        <w:rPr>
          <w:rFonts w:hint="eastAsia" w:ascii="宋体" w:hAnsi="宋体"/>
          <w:sz w:val="24"/>
          <w:szCs w:val="24"/>
        </w:rPr>
      </w:pPr>
      <w:r>
        <w:rPr>
          <w:rFonts w:hint="eastAsia" w:ascii="宋体" w:hAnsi="宋体"/>
          <w:sz w:val="24"/>
          <w:szCs w:val="24"/>
        </w:rPr>
        <w:t>4、投标人一旦中标，不得以任何理由再向招标人收取</w:t>
      </w:r>
      <w:r>
        <w:rPr>
          <w:rFonts w:hint="eastAsia" w:ascii="宋体" w:hAnsi="宋体"/>
          <w:sz w:val="24"/>
          <w:szCs w:val="24"/>
          <w:lang w:val="en-US" w:eastAsia="zh-CN"/>
        </w:rPr>
        <w:t>其他</w:t>
      </w:r>
      <w:r>
        <w:rPr>
          <w:rFonts w:hint="eastAsia" w:ascii="宋体" w:hAnsi="宋体"/>
          <w:sz w:val="24"/>
          <w:szCs w:val="24"/>
        </w:rPr>
        <w:t>任何费用。</w:t>
      </w:r>
    </w:p>
    <w:p w14:paraId="7B29F02E">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w:t>
      </w:r>
      <w:r>
        <w:rPr>
          <w:rFonts w:hint="eastAsia" w:ascii="宋体" w:hAnsi="宋体"/>
          <w:b/>
          <w:sz w:val="24"/>
        </w:rPr>
        <w:t>服务质量考核及验收办法</w:t>
      </w:r>
      <w:r>
        <w:rPr>
          <w:rFonts w:hint="eastAsia" w:cs="Arial" w:asciiTheme="majorEastAsia" w:hAnsiTheme="majorEastAsia" w:eastAsiaTheme="majorEastAsia"/>
          <w:b/>
          <w:kern w:val="0"/>
          <w:sz w:val="24"/>
        </w:rPr>
        <w:t>：</w:t>
      </w:r>
    </w:p>
    <w:p w14:paraId="1199D5DF">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1、完成造价咨询服务所需的时间，由甲方与乙方根据项目的规模及复杂程度商定，并在项目委托书中注明(乙方需提供进度计划明细，过程中按天汇报编制进度，如甲方抽查过程进度，发现存在过程节点延期，甲方有权要求乙方驻场偏制咨询服务成果)。乙方应在约定的时间内完成咨询服务。如有特殊情况需要延期的，乙方需书面提出并经甲方同意。</w:t>
      </w:r>
    </w:p>
    <w:p w14:paraId="4FFAD66A">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2、乙方在履行合同期间不得更换项目组成员，否则，甲方有权终止合同。</w:t>
      </w:r>
    </w:p>
    <w:p w14:paraId="3D458A3E">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3、乙方应严格按照现行相关法规及本工程施工合同的规定，对现场签证进行严格审核。</w:t>
      </w:r>
    </w:p>
    <w:p w14:paraId="32ACEAF3">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4、乙方内部必须严格执行《江苏省建设工程造价咨询业务指导规程》亚格执行内部三级复核制度，确保咨询成果质量。对出现较大质量问题或延期情况，甲方有权终止合同。</w:t>
      </w:r>
    </w:p>
    <w:p w14:paraId="7B281CC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5、乙方不得转让业务。</w:t>
      </w:r>
    </w:p>
    <w:p w14:paraId="33272764">
      <w:pPr>
        <w:spacing w:line="420" w:lineRule="atLeast"/>
        <w:rPr>
          <w:rFonts w:asciiTheme="majorEastAsia" w:hAnsiTheme="majorEastAsia" w:eastAsiaTheme="majorEastAsia"/>
          <w:b/>
          <w:color w:val="auto"/>
          <w:sz w:val="24"/>
        </w:rPr>
      </w:pPr>
      <w:r>
        <w:rPr>
          <w:rFonts w:hint="eastAsia" w:asciiTheme="majorEastAsia" w:hAnsiTheme="majorEastAsia" w:eastAsiaTheme="majorEastAsia" w:cstheme="minorBidi"/>
          <w:b/>
          <w:color w:val="auto"/>
          <w:sz w:val="24"/>
        </w:rPr>
        <w:t>六、</w:t>
      </w:r>
      <w:r>
        <w:rPr>
          <w:rFonts w:hint="eastAsia" w:ascii="宋体" w:hAnsi="宋体"/>
          <w:b/>
          <w:color w:val="auto"/>
          <w:sz w:val="24"/>
        </w:rPr>
        <w:t>管理单位认为必须明确的其他条款</w:t>
      </w:r>
    </w:p>
    <w:p w14:paraId="54168395">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 xml:space="preserve">1、若乙方未按要求提供咨询服务，行为超过2次，甲方有权取消其入库资格； </w:t>
      </w:r>
    </w:p>
    <w:p w14:paraId="3D9D7EDB">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2、乙方如不能提供甲方要求完成的服务项目或不能履行招标文件上的服务承诺，甲方有权终止合同。</w:t>
      </w:r>
    </w:p>
    <w:p w14:paraId="46CDA6BA">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3、乙方必须廉洁自律，遵守执业道德，保守机密，在提交审核初稿之前不得与施工方接触。若发现乙方违反本条规定，则：</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begin"/>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instrText xml:space="preserve"> = 1 \* GB3 </w:instrTex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separate"/>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①</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end"/>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甲方有权中止本合同；</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begin"/>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instrText xml:space="preserve"> = 2 \* GB3 </w:instrTex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separate"/>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②</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end"/>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若乙方的违规行为在客观上造成了甲方的经济损失，则甲方有权依法追究乙方的经济责任。</w:t>
      </w:r>
    </w:p>
    <w:p w14:paraId="54308C7C">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Segoe UI" w:hAnsi="Segoe UI" w:eastAsia="Segoe UI" w:cs="Segoe UI"/>
          <w:i w:val="0"/>
          <w:iCs w:val="0"/>
          <w:caps w:val="0"/>
          <w:color w:val="auto"/>
          <w:spacing w:val="0"/>
          <w:sz w:val="24"/>
          <w:szCs w:val="24"/>
        </w:rPr>
      </w:pPr>
      <w:r>
        <w:rPr>
          <w:rFonts w:hint="eastAsia" w:asciiTheme="majorEastAsia" w:hAnsiTheme="majorEastAsia" w:eastAsiaTheme="majorEastAsia" w:cstheme="minorBidi"/>
          <w:color w:val="auto"/>
          <w:sz w:val="24"/>
          <w:lang w:val="en-US" w:eastAsia="zh-CN"/>
        </w:rPr>
        <w:t>4、</w:t>
      </w:r>
      <w:r>
        <w:rPr>
          <w:rFonts w:hint="eastAsia" w:ascii="Segoe UI" w:hAnsi="Segoe UI" w:eastAsia="Segoe UI" w:cs="Segoe UI"/>
          <w:i w:val="0"/>
          <w:iCs w:val="0"/>
          <w:caps w:val="0"/>
          <w:color w:val="auto"/>
          <w:spacing w:val="0"/>
          <w:sz w:val="24"/>
          <w:szCs w:val="24"/>
        </w:rPr>
        <w:t>投标单位若已入围本校审计处服务单位库，</w:t>
      </w:r>
      <w:r>
        <w:rPr>
          <w:rFonts w:hint="eastAsia" w:ascii="Segoe UI" w:hAnsi="Segoe UI" w:cs="Segoe UI"/>
          <w:i w:val="0"/>
          <w:iCs w:val="0"/>
          <w:caps w:val="0"/>
          <w:color w:val="auto"/>
          <w:spacing w:val="0"/>
          <w:sz w:val="24"/>
          <w:szCs w:val="24"/>
          <w:lang w:val="en-US" w:eastAsia="zh-CN"/>
        </w:rPr>
        <w:t>则</w:t>
      </w:r>
      <w:r>
        <w:rPr>
          <w:rFonts w:hint="eastAsia" w:ascii="Segoe UI" w:hAnsi="Segoe UI" w:eastAsia="Segoe UI" w:cs="Segoe UI"/>
          <w:i w:val="0"/>
          <w:iCs w:val="0"/>
          <w:caps w:val="0"/>
          <w:color w:val="auto"/>
          <w:spacing w:val="0"/>
          <w:sz w:val="24"/>
          <w:szCs w:val="24"/>
        </w:rPr>
        <w:t>不具备本项目投标资格。</w:t>
      </w:r>
    </w:p>
    <w:p w14:paraId="51A82AA8">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Segoe UI" w:hAnsi="Segoe UI" w:cs="Segoe UI"/>
          <w:i w:val="0"/>
          <w:iCs w:val="0"/>
          <w:caps w:val="0"/>
          <w:color w:val="auto"/>
          <w:spacing w:val="0"/>
          <w:sz w:val="24"/>
          <w:szCs w:val="24"/>
          <w:lang w:val="en-US" w:eastAsia="zh-CN"/>
        </w:rPr>
      </w:pPr>
      <w:r>
        <w:rPr>
          <w:rFonts w:hint="eastAsia" w:ascii="Segoe UI" w:hAnsi="Segoe UI" w:cs="Segoe UI"/>
          <w:i w:val="0"/>
          <w:iCs w:val="0"/>
          <w:caps w:val="0"/>
          <w:color w:val="auto"/>
          <w:spacing w:val="0"/>
          <w:sz w:val="24"/>
          <w:szCs w:val="24"/>
          <w:lang w:val="en-US" w:eastAsia="zh-CN"/>
        </w:rPr>
        <w:t>5、投标单位需提供</w:t>
      </w:r>
      <w:r>
        <w:rPr>
          <w:rFonts w:hint="eastAsia" w:ascii="Segoe UI" w:hAnsi="Segoe UI" w:cs="Segoe UI"/>
          <w:i w:val="0"/>
          <w:iCs w:val="0"/>
          <w:caps w:val="0"/>
          <w:color w:val="auto"/>
          <w:spacing w:val="0"/>
          <w:sz w:val="24"/>
          <w:szCs w:val="24"/>
          <w:highlight w:val="none"/>
          <w:lang w:val="en-US" w:eastAsia="zh-CN"/>
        </w:rPr>
        <w:t>审计服务入库</w:t>
      </w:r>
      <w:r>
        <w:rPr>
          <w:rFonts w:hint="eastAsia" w:ascii="Segoe UI" w:hAnsi="Segoe UI" w:cs="Segoe UI"/>
          <w:i w:val="0"/>
          <w:iCs w:val="0"/>
          <w:caps w:val="0"/>
          <w:color w:val="auto"/>
          <w:spacing w:val="0"/>
          <w:sz w:val="24"/>
          <w:szCs w:val="24"/>
          <w:lang w:val="en-US" w:eastAsia="zh-CN"/>
        </w:rPr>
        <w:t>类相关业绩（相似业绩）。</w:t>
      </w:r>
    </w:p>
    <w:p w14:paraId="67B06508">
      <w:pPr>
        <w:keepNext w:val="0"/>
        <w:keepLines w:val="0"/>
        <w:pageBreakBefore w:val="0"/>
        <w:widowControl w:val="0"/>
        <w:kinsoku/>
        <w:wordWrap/>
        <w:overflowPunct/>
        <w:topLinePunct w:val="0"/>
        <w:autoSpaceDE/>
        <w:autoSpaceDN/>
        <w:bidi w:val="0"/>
        <w:adjustRightInd/>
        <w:spacing w:line="500" w:lineRule="exact"/>
        <w:ind w:firstLine="472" w:firstLineChars="196"/>
        <w:textAlignment w:val="auto"/>
        <w:rPr>
          <w:rFonts w:hint="eastAsia" w:asciiTheme="majorEastAsia" w:hAnsiTheme="majorEastAsia" w:eastAsiaTheme="majorEastAsia" w:cstheme="minorBidi"/>
          <w:b/>
          <w:color w:val="auto"/>
          <w:sz w:val="24"/>
        </w:rPr>
      </w:pPr>
      <w:r>
        <w:rPr>
          <w:rFonts w:hint="eastAsia" w:asciiTheme="majorEastAsia" w:hAnsiTheme="majorEastAsia" w:eastAsiaTheme="majorEastAsia" w:cstheme="minorBidi"/>
          <w:b/>
          <w:color w:val="auto"/>
          <w:sz w:val="24"/>
          <w:lang w:val="en-US" w:eastAsia="zh-CN"/>
        </w:rPr>
        <w:t>七、</w:t>
      </w:r>
      <w:r>
        <w:rPr>
          <w:rFonts w:hint="eastAsia" w:asciiTheme="majorEastAsia" w:hAnsiTheme="majorEastAsia" w:eastAsiaTheme="majorEastAsia" w:cstheme="minorBidi"/>
          <w:b/>
          <w:color w:val="auto"/>
          <w:sz w:val="24"/>
        </w:rPr>
        <w:t>服务质量考核管理办法（必须附）</w:t>
      </w:r>
    </w:p>
    <w:p w14:paraId="219BB372">
      <w:pPr>
        <w:numPr>
          <w:ilvl w:val="0"/>
          <w:numId w:val="0"/>
        </w:numPr>
        <w:spacing w:line="420" w:lineRule="atLeast"/>
        <w:ind w:firstLine="480" w:firstLineChars="200"/>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执行学院审计处发文徐工职院发2017（137）号（附件2）</w:t>
      </w:r>
    </w:p>
    <w:p w14:paraId="49BFB957">
      <w:pPr>
        <w:widowControl/>
        <w:numPr>
          <w:ilvl w:val="0"/>
          <w:numId w:val="0"/>
        </w:numPr>
        <w:snapToGrid w:val="0"/>
        <w:spacing w:line="420" w:lineRule="atLeast"/>
        <w:ind w:leftChars="0"/>
        <w:textAlignment w:val="baseline"/>
        <w:rPr>
          <w:rFonts w:hint="eastAsia" w:ascii="宋体" w:hAnsi="宋体" w:cs="Arial"/>
          <w:kern w:val="0"/>
          <w:sz w:val="24"/>
        </w:rPr>
      </w:pPr>
      <w:r>
        <w:rPr>
          <w:rFonts w:hint="eastAsia" w:ascii="宋体" w:hAnsi="宋体" w:cs="Arial"/>
          <w:b/>
          <w:kern w:val="0"/>
          <w:sz w:val="24"/>
          <w:lang w:val="en-US" w:eastAsia="zh-CN"/>
        </w:rPr>
        <w:t>八、</w:t>
      </w:r>
      <w:r>
        <w:rPr>
          <w:rFonts w:ascii="宋体" w:hAnsi="宋体" w:cs="Arial"/>
          <w:b/>
          <w:kern w:val="0"/>
          <w:sz w:val="24"/>
        </w:rPr>
        <w:t>服务合同草案</w:t>
      </w:r>
    </w:p>
    <w:p w14:paraId="0E668A07">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见附件1</w:t>
      </w:r>
    </w:p>
    <w:p w14:paraId="32C442C2">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ascii="宋体" w:hAnsi="宋体" w:cs="Arial"/>
          <w:b/>
          <w:kern w:val="0"/>
          <w:sz w:val="24"/>
          <w:lang w:val="en-US" w:eastAsia="zh-CN"/>
        </w:rPr>
        <w:t>九</w:t>
      </w:r>
      <w:r>
        <w:rPr>
          <w:rFonts w:hint="eastAsia" w:ascii="宋体" w:hAnsi="宋体" w:cs="Arial"/>
          <w:b/>
          <w:kern w:val="0"/>
          <w:sz w:val="24"/>
        </w:rPr>
        <w:t>、</w:t>
      </w:r>
      <w:r>
        <w:rPr>
          <w:rFonts w:hint="eastAsia" w:cs="Arial" w:asciiTheme="majorEastAsia" w:hAnsiTheme="majorEastAsia" w:eastAsiaTheme="majorEastAsia"/>
          <w:b/>
          <w:kern w:val="0"/>
          <w:sz w:val="24"/>
        </w:rPr>
        <w:t>付款方式：</w:t>
      </w:r>
    </w:p>
    <w:p w14:paraId="7F7C8D10">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1、本项目无预付款和进度款。</w:t>
      </w:r>
    </w:p>
    <w:p w14:paraId="5CB558B3">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宋体" w:hAnsi="宋体" w:eastAsia="宋体" w:cs="宋体"/>
          <w:snapToGrid w:val="0"/>
          <w:color w:val="000000"/>
          <w:spacing w:val="-8"/>
          <w:kern w:val="0"/>
          <w:sz w:val="24"/>
          <w:szCs w:val="24"/>
          <w:lang w:val="en-US" w:eastAsia="en-US" w:bidi="ar-SA"/>
        </w:rPr>
      </w:pPr>
      <w:r>
        <w:rPr>
          <w:rFonts w:hint="eastAsia" w:asciiTheme="majorEastAsia" w:hAnsiTheme="majorEastAsia" w:eastAsiaTheme="majorEastAsia" w:cstheme="minorBidi"/>
          <w:color w:val="auto"/>
          <w:sz w:val="24"/>
          <w:lang w:val="en-US" w:eastAsia="zh-CN"/>
        </w:rPr>
        <w:t>2、编制标底（含工程量清单），在书面成果递交，并经甲方审核确认后，凭正规发票每半年集中或根据甲方要求按照工程项目支付。误差率在士3%以内的，按照投标价格进行支付。</w:t>
      </w:r>
      <w:r>
        <w:rPr>
          <w:rFonts w:hint="eastAsia" w:ascii="宋体" w:hAnsi="宋体" w:eastAsia="宋体" w:cs="宋体"/>
          <w:snapToGrid w:val="0"/>
          <w:color w:val="000000"/>
          <w:spacing w:val="-8"/>
          <w:kern w:val="0"/>
          <w:sz w:val="24"/>
          <w:szCs w:val="24"/>
          <w:lang w:val="en-US" w:eastAsia="en-US" w:bidi="ar-SA"/>
        </w:rPr>
        <w:t>因</w:t>
      </w:r>
      <w:r>
        <w:rPr>
          <w:rFonts w:hint="eastAsia" w:ascii="宋体" w:hAnsi="宋体" w:eastAsia="宋体" w:cs="宋体"/>
          <w:snapToGrid w:val="0"/>
          <w:color w:val="000000"/>
          <w:spacing w:val="-8"/>
          <w:kern w:val="0"/>
          <w:sz w:val="24"/>
          <w:szCs w:val="24"/>
          <w:lang w:val="en-US" w:eastAsia="zh-CN" w:bidi="ar-SA"/>
        </w:rPr>
        <w:t>乙方</w:t>
      </w:r>
      <w:r>
        <w:rPr>
          <w:rFonts w:hint="eastAsia" w:ascii="宋体" w:hAnsi="宋体" w:eastAsia="宋体" w:cs="宋体"/>
          <w:snapToGrid w:val="0"/>
          <w:color w:val="000000"/>
          <w:spacing w:val="-8"/>
          <w:kern w:val="0"/>
          <w:sz w:val="24"/>
          <w:szCs w:val="24"/>
          <w:lang w:val="en-US" w:eastAsia="en-US" w:bidi="ar-SA"/>
        </w:rPr>
        <w:t>工作不细致、疏忽大意等原因导致的审核误差率在±3%</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不含3%</w:t>
      </w:r>
      <w:r>
        <w:rPr>
          <w:rFonts w:hint="eastAsia" w:ascii="宋体" w:hAnsi="宋体" w:cs="宋体"/>
          <w:color w:val="auto"/>
          <w:sz w:val="24"/>
          <w:lang w:val="en-US" w:eastAsia="zh-CN"/>
        </w:rPr>
        <w:t>）</w:t>
      </w:r>
      <w:r>
        <w:rPr>
          <w:rFonts w:hint="eastAsia" w:ascii="宋体" w:hAnsi="宋体" w:eastAsia="宋体" w:cs="宋体"/>
          <w:snapToGrid w:val="0"/>
          <w:color w:val="000000"/>
          <w:spacing w:val="-8"/>
          <w:kern w:val="0"/>
          <w:sz w:val="24"/>
          <w:szCs w:val="24"/>
          <w:lang w:val="en-US" w:eastAsia="en-US" w:bidi="ar-SA"/>
        </w:rPr>
        <w:t>—±5%</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含</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w:t>
      </w:r>
      <w:r>
        <w:rPr>
          <w:rFonts w:hint="eastAsia" w:ascii="宋体" w:hAnsi="宋体" w:eastAsia="宋体" w:cs="宋体"/>
          <w:snapToGrid w:val="0"/>
          <w:color w:val="000000"/>
          <w:spacing w:val="-8"/>
          <w:kern w:val="0"/>
          <w:sz w:val="24"/>
          <w:szCs w:val="24"/>
          <w:lang w:val="en-US" w:eastAsia="en-US" w:bidi="ar-SA"/>
        </w:rPr>
        <w:t>的，</w:t>
      </w:r>
      <w:r>
        <w:rPr>
          <w:rFonts w:hint="eastAsia" w:ascii="宋体" w:hAnsi="宋体" w:eastAsia="宋体" w:cs="宋体"/>
          <w:snapToGrid w:val="0"/>
          <w:color w:val="000000"/>
          <w:spacing w:val="-8"/>
          <w:kern w:val="0"/>
          <w:sz w:val="24"/>
          <w:szCs w:val="24"/>
          <w:lang w:val="en-US" w:eastAsia="zh-CN" w:bidi="ar-SA"/>
        </w:rPr>
        <w:t>甲方</w:t>
      </w:r>
      <w:r>
        <w:rPr>
          <w:rFonts w:hint="eastAsia" w:ascii="宋体" w:hAnsi="宋体" w:eastAsia="宋体" w:cs="宋体"/>
          <w:snapToGrid w:val="0"/>
          <w:color w:val="000000"/>
          <w:spacing w:val="-8"/>
          <w:kern w:val="0"/>
          <w:sz w:val="24"/>
          <w:szCs w:val="24"/>
          <w:lang w:val="en-US" w:eastAsia="en-US" w:bidi="ar-SA"/>
        </w:rPr>
        <w:t>有权扣除审核费用的20%；审核误差率超过±5%的，</w:t>
      </w:r>
      <w:r>
        <w:rPr>
          <w:rFonts w:hint="eastAsia" w:ascii="宋体" w:hAnsi="宋体" w:eastAsia="宋体" w:cs="宋体"/>
          <w:snapToGrid w:val="0"/>
          <w:color w:val="000000"/>
          <w:spacing w:val="-8"/>
          <w:kern w:val="0"/>
          <w:sz w:val="24"/>
          <w:szCs w:val="24"/>
          <w:lang w:val="en-US" w:eastAsia="zh-CN" w:bidi="ar-SA"/>
        </w:rPr>
        <w:t>甲方</w:t>
      </w:r>
      <w:r>
        <w:rPr>
          <w:rFonts w:hint="eastAsia" w:ascii="宋体" w:hAnsi="宋体" w:eastAsia="宋体" w:cs="宋体"/>
          <w:snapToGrid w:val="0"/>
          <w:color w:val="000000"/>
          <w:spacing w:val="-8"/>
          <w:kern w:val="0"/>
          <w:sz w:val="24"/>
          <w:szCs w:val="24"/>
          <w:lang w:val="en-US" w:eastAsia="en-US" w:bidi="ar-SA"/>
        </w:rPr>
        <w:t>有权不予支付审核费用</w:t>
      </w:r>
    </w:p>
    <w:p w14:paraId="277D062E">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3、结算审计：</w:t>
      </w:r>
      <w:r>
        <w:rPr>
          <w:rFonts w:hint="eastAsia" w:ascii="宋体" w:hAnsi="宋体" w:eastAsia="宋体" w:cs="宋体"/>
          <w:snapToGrid w:val="0"/>
          <w:color w:val="000000"/>
          <w:spacing w:val="-2"/>
          <w:kern w:val="0"/>
          <w:sz w:val="24"/>
          <w:szCs w:val="24"/>
          <w:lang w:val="en-US" w:eastAsia="en-US" w:bidi="ar-SA"/>
        </w:rPr>
        <w:t>工程结算审计时间应收到工程竣工结算材料之日起在规定天数内审计完毕。结算审计每拖延十天扣应收审核费的10%;延误时间超过30天，该项目的审核费用则全部扣除，由委托方原因造成的除外。审计结果经甲方抽查进行复核，复核结果审减率超过3%的，审计费用减半支付。咨询费在每次服务方收到项目委托书后，按委托方要求全部完成受委托咨询业务并出具报告，采购方对服务方所出具的报告无异议后，凭服务方开具有效发票</w:t>
      </w:r>
      <w:r>
        <w:rPr>
          <w:rFonts w:hint="eastAsia" w:ascii="宋体" w:hAnsi="宋体" w:cs="宋体"/>
          <w:snapToGrid w:val="0"/>
          <w:color w:val="000000"/>
          <w:spacing w:val="-2"/>
          <w:kern w:val="0"/>
          <w:sz w:val="24"/>
          <w:szCs w:val="24"/>
          <w:lang w:val="en-US" w:eastAsia="zh-CN" w:bidi="ar-SA"/>
        </w:rPr>
        <w:t>根据</w:t>
      </w:r>
      <w:r>
        <w:rPr>
          <w:rFonts w:hint="eastAsia" w:asciiTheme="majorEastAsia" w:hAnsiTheme="majorEastAsia" w:eastAsiaTheme="majorEastAsia" w:cstheme="minorBidi"/>
          <w:color w:val="auto"/>
          <w:sz w:val="24"/>
          <w:lang w:val="en-US" w:eastAsia="zh-CN"/>
        </w:rPr>
        <w:t>每半年集中或根据甲方要求按照</w:t>
      </w:r>
      <w:r>
        <w:rPr>
          <w:rFonts w:hint="eastAsia" w:ascii="宋体" w:hAnsi="宋体" w:cs="宋体"/>
          <w:snapToGrid w:val="0"/>
          <w:color w:val="000000"/>
          <w:spacing w:val="-2"/>
          <w:kern w:val="0"/>
          <w:sz w:val="24"/>
          <w:szCs w:val="24"/>
          <w:lang w:val="en-US" w:eastAsia="zh-CN" w:bidi="ar-SA"/>
        </w:rPr>
        <w:t>进行支付</w:t>
      </w:r>
      <w:r>
        <w:rPr>
          <w:rFonts w:hint="eastAsia" w:ascii="宋体" w:hAnsi="宋体" w:eastAsia="宋体" w:cs="宋体"/>
          <w:snapToGrid w:val="0"/>
          <w:color w:val="000000"/>
          <w:spacing w:val="-2"/>
          <w:kern w:val="0"/>
          <w:sz w:val="24"/>
          <w:szCs w:val="24"/>
          <w:lang w:val="en-US" w:eastAsia="en-US" w:bidi="ar-SA"/>
        </w:rPr>
        <w:t>服务款</w:t>
      </w:r>
      <w:r>
        <w:rPr>
          <w:rFonts w:hint="eastAsia" w:ascii="宋体" w:hAnsi="宋体" w:cs="宋体"/>
          <w:snapToGrid w:val="0"/>
          <w:color w:val="000000"/>
          <w:spacing w:val="-2"/>
          <w:kern w:val="0"/>
          <w:sz w:val="24"/>
          <w:szCs w:val="24"/>
          <w:lang w:val="en-US" w:eastAsia="zh-CN" w:bidi="ar-SA"/>
        </w:rPr>
        <w:t>。</w:t>
      </w:r>
    </w:p>
    <w:p w14:paraId="31639270">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72"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cs="宋体"/>
          <w:snapToGrid w:val="0"/>
          <w:color w:val="000000"/>
          <w:spacing w:val="-2"/>
          <w:kern w:val="0"/>
          <w:sz w:val="24"/>
          <w:szCs w:val="24"/>
          <w:lang w:val="en-US" w:eastAsia="zh-CN" w:bidi="ar-SA"/>
        </w:rPr>
        <w:t>4、认质认价：甲方根据项目情况进行材料认质认价，由已方进行调研后完成认质认价工作并提供纸质书面成果，</w:t>
      </w:r>
      <w:r>
        <w:rPr>
          <w:rFonts w:hint="eastAsia" w:asciiTheme="majorEastAsia" w:hAnsiTheme="majorEastAsia" w:eastAsiaTheme="majorEastAsia" w:cstheme="minorBidi"/>
          <w:color w:val="auto"/>
          <w:sz w:val="24"/>
          <w:lang w:val="en-US" w:eastAsia="zh-CN"/>
        </w:rPr>
        <w:t>视项目情况，凭正规发票每半年集中或根据甲方要求按照工程项目支付。</w:t>
      </w:r>
    </w:p>
    <w:p w14:paraId="1544E551">
      <w:pPr>
        <w:widowControl/>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咨询费在每次服务方收到项目委托书后，按委托方要求全部完成受委托咨询业务并出具报告，采购方对服务方所出具的报告无异议后，凭服务方开具有效发票一月内一次性支付全部服务款。</w:t>
      </w:r>
    </w:p>
    <w:p w14:paraId="57EBFE66">
      <w:pPr>
        <w:widowControl/>
        <w:snapToGrid w:val="0"/>
        <w:spacing w:line="360" w:lineRule="auto"/>
        <w:ind w:firstLine="480" w:firstLineChars="200"/>
        <w:textAlignment w:val="baseline"/>
        <w:rPr>
          <w:rFonts w:hint="eastAsia" w:ascii="宋体" w:hAnsi="宋体"/>
          <w:sz w:val="24"/>
          <w:szCs w:val="24"/>
        </w:rPr>
      </w:pPr>
    </w:p>
    <w:p w14:paraId="27CDB69C">
      <w:pPr>
        <w:widowControl/>
        <w:snapToGrid w:val="0"/>
        <w:spacing w:line="360" w:lineRule="auto"/>
        <w:ind w:firstLine="480" w:firstLineChars="200"/>
        <w:textAlignment w:val="baseline"/>
        <w:rPr>
          <w:rFonts w:hint="eastAsia" w:ascii="宋体" w:hAnsi="宋体"/>
          <w:sz w:val="24"/>
          <w:szCs w:val="24"/>
        </w:rPr>
      </w:pPr>
    </w:p>
    <w:p w14:paraId="03167816">
      <w:pPr>
        <w:widowControl/>
        <w:snapToGrid w:val="0"/>
        <w:spacing w:line="360" w:lineRule="auto"/>
        <w:ind w:firstLine="480" w:firstLineChars="200"/>
        <w:textAlignment w:val="baseline"/>
        <w:rPr>
          <w:rFonts w:hint="eastAsia" w:ascii="宋体" w:hAnsi="宋体"/>
          <w:sz w:val="24"/>
          <w:szCs w:val="24"/>
        </w:rPr>
      </w:pPr>
    </w:p>
    <w:p w14:paraId="05FAC773">
      <w:pPr>
        <w:widowControl/>
        <w:snapToGrid w:val="0"/>
        <w:spacing w:line="360" w:lineRule="auto"/>
        <w:ind w:firstLine="480" w:firstLineChars="200"/>
        <w:textAlignment w:val="baseline"/>
        <w:rPr>
          <w:rFonts w:hint="eastAsia" w:ascii="宋体" w:hAnsi="宋体"/>
          <w:sz w:val="24"/>
          <w:szCs w:val="24"/>
        </w:rPr>
      </w:pPr>
    </w:p>
    <w:p w14:paraId="0851FB1C">
      <w:pPr>
        <w:widowControl/>
        <w:snapToGrid w:val="0"/>
        <w:spacing w:line="360" w:lineRule="auto"/>
        <w:ind w:firstLine="480" w:firstLineChars="200"/>
        <w:textAlignment w:val="baseline"/>
        <w:rPr>
          <w:rFonts w:hint="eastAsia" w:ascii="宋体" w:hAnsi="宋体"/>
          <w:sz w:val="24"/>
          <w:szCs w:val="24"/>
        </w:rPr>
      </w:pPr>
    </w:p>
    <w:p w14:paraId="7C54B498">
      <w:pPr>
        <w:widowControl/>
        <w:snapToGrid w:val="0"/>
        <w:spacing w:line="360" w:lineRule="auto"/>
        <w:ind w:firstLine="480" w:firstLineChars="200"/>
        <w:textAlignment w:val="baseline"/>
        <w:rPr>
          <w:rFonts w:hint="eastAsia" w:ascii="宋体" w:hAnsi="宋体"/>
          <w:sz w:val="24"/>
          <w:szCs w:val="24"/>
        </w:rPr>
      </w:pPr>
    </w:p>
    <w:p w14:paraId="3B4AF2A6">
      <w:pPr>
        <w:widowControl/>
        <w:snapToGrid w:val="0"/>
        <w:spacing w:line="360" w:lineRule="auto"/>
        <w:ind w:firstLine="480" w:firstLineChars="200"/>
        <w:textAlignment w:val="baseline"/>
        <w:rPr>
          <w:rFonts w:hint="eastAsia" w:ascii="宋体" w:hAnsi="宋体"/>
          <w:sz w:val="24"/>
          <w:szCs w:val="24"/>
        </w:rPr>
      </w:pPr>
    </w:p>
    <w:p w14:paraId="2DDC6829">
      <w:pPr>
        <w:widowControl/>
        <w:snapToGrid w:val="0"/>
        <w:spacing w:line="360" w:lineRule="auto"/>
        <w:ind w:firstLine="480" w:firstLineChars="200"/>
        <w:textAlignment w:val="baseline"/>
        <w:rPr>
          <w:rFonts w:hint="eastAsia" w:ascii="宋体" w:hAnsi="宋体"/>
          <w:sz w:val="24"/>
          <w:szCs w:val="24"/>
        </w:rPr>
      </w:pPr>
    </w:p>
    <w:p w14:paraId="1F776499">
      <w:pPr>
        <w:widowControl/>
        <w:snapToGrid w:val="0"/>
        <w:spacing w:line="360" w:lineRule="auto"/>
        <w:ind w:firstLine="480" w:firstLineChars="200"/>
        <w:textAlignment w:val="baseline"/>
        <w:rPr>
          <w:rFonts w:hint="eastAsia" w:ascii="宋体" w:hAnsi="宋体"/>
          <w:sz w:val="24"/>
          <w:szCs w:val="24"/>
        </w:rPr>
      </w:pPr>
    </w:p>
    <w:p w14:paraId="5A980B3D">
      <w:pPr>
        <w:widowControl/>
        <w:snapToGrid w:val="0"/>
        <w:spacing w:line="360" w:lineRule="auto"/>
        <w:ind w:firstLine="480" w:firstLineChars="200"/>
        <w:textAlignment w:val="baseline"/>
        <w:rPr>
          <w:rFonts w:hint="eastAsia" w:ascii="宋体" w:hAnsi="宋体"/>
          <w:sz w:val="24"/>
          <w:szCs w:val="24"/>
        </w:rPr>
      </w:pPr>
    </w:p>
    <w:p w14:paraId="05F12FC6">
      <w:pPr>
        <w:widowControl/>
        <w:snapToGrid w:val="0"/>
        <w:spacing w:line="360" w:lineRule="auto"/>
        <w:ind w:firstLine="480" w:firstLineChars="200"/>
        <w:textAlignment w:val="baseline"/>
        <w:rPr>
          <w:rFonts w:hint="eastAsia" w:ascii="宋体" w:hAnsi="宋体"/>
          <w:sz w:val="24"/>
          <w:szCs w:val="24"/>
        </w:rPr>
      </w:pPr>
    </w:p>
    <w:p w14:paraId="57E4CF25">
      <w:pPr>
        <w:widowControl/>
        <w:snapToGrid w:val="0"/>
        <w:spacing w:line="360" w:lineRule="auto"/>
        <w:ind w:firstLine="480" w:firstLineChars="200"/>
        <w:textAlignment w:val="baseline"/>
        <w:rPr>
          <w:rFonts w:hint="eastAsia" w:ascii="宋体" w:hAnsi="宋体"/>
          <w:sz w:val="24"/>
          <w:szCs w:val="24"/>
        </w:rPr>
      </w:pPr>
    </w:p>
    <w:p w14:paraId="5211597B">
      <w:pPr>
        <w:widowControl/>
        <w:snapToGrid w:val="0"/>
        <w:spacing w:line="360" w:lineRule="auto"/>
        <w:ind w:firstLine="480" w:firstLineChars="200"/>
        <w:textAlignment w:val="baseline"/>
        <w:rPr>
          <w:rFonts w:hint="eastAsia" w:ascii="宋体" w:hAnsi="宋体"/>
          <w:sz w:val="24"/>
          <w:szCs w:val="24"/>
        </w:rPr>
      </w:pPr>
    </w:p>
    <w:p w14:paraId="0AA28E04">
      <w:pPr>
        <w:widowControl/>
        <w:snapToGrid w:val="0"/>
        <w:spacing w:line="360" w:lineRule="auto"/>
        <w:ind w:firstLine="480" w:firstLineChars="200"/>
        <w:textAlignment w:val="baseline"/>
        <w:rPr>
          <w:rFonts w:hint="eastAsia" w:ascii="宋体" w:hAnsi="宋体"/>
          <w:sz w:val="24"/>
          <w:szCs w:val="24"/>
        </w:rPr>
      </w:pPr>
    </w:p>
    <w:p w14:paraId="62F568F5">
      <w:pPr>
        <w:widowControl/>
        <w:snapToGrid w:val="0"/>
        <w:spacing w:line="360" w:lineRule="auto"/>
        <w:ind w:firstLine="480" w:firstLineChars="200"/>
        <w:textAlignment w:val="baseline"/>
        <w:rPr>
          <w:rFonts w:hint="eastAsia" w:ascii="宋体" w:hAnsi="宋体"/>
          <w:sz w:val="24"/>
          <w:szCs w:val="24"/>
        </w:rPr>
      </w:pPr>
    </w:p>
    <w:p w14:paraId="2E231E41">
      <w:pPr>
        <w:widowControl/>
        <w:snapToGrid w:val="0"/>
        <w:spacing w:line="360" w:lineRule="auto"/>
        <w:ind w:firstLine="480" w:firstLineChars="200"/>
        <w:textAlignment w:val="baseline"/>
        <w:rPr>
          <w:rFonts w:hint="eastAsia" w:ascii="宋体" w:hAnsi="宋体"/>
          <w:sz w:val="24"/>
          <w:szCs w:val="24"/>
        </w:rPr>
      </w:pPr>
    </w:p>
    <w:p w14:paraId="14DAF259">
      <w:pPr>
        <w:widowControl/>
        <w:snapToGrid w:val="0"/>
        <w:spacing w:line="360" w:lineRule="auto"/>
        <w:ind w:firstLine="480" w:firstLineChars="200"/>
        <w:textAlignment w:val="baseline"/>
        <w:rPr>
          <w:rFonts w:hint="eastAsia" w:ascii="宋体" w:hAnsi="宋体"/>
          <w:sz w:val="24"/>
          <w:szCs w:val="24"/>
        </w:rPr>
      </w:pPr>
    </w:p>
    <w:p w14:paraId="5B5982F9">
      <w:pPr>
        <w:widowControl/>
        <w:snapToGrid w:val="0"/>
        <w:spacing w:line="360" w:lineRule="auto"/>
        <w:ind w:firstLine="480" w:firstLineChars="200"/>
        <w:textAlignment w:val="baseline"/>
        <w:rPr>
          <w:rFonts w:hint="eastAsia" w:ascii="宋体" w:hAnsi="宋体"/>
          <w:sz w:val="24"/>
          <w:szCs w:val="24"/>
        </w:rPr>
      </w:pPr>
    </w:p>
    <w:p w14:paraId="54880B87">
      <w:pPr>
        <w:widowControl/>
        <w:snapToGrid w:val="0"/>
        <w:spacing w:line="360" w:lineRule="auto"/>
        <w:ind w:firstLine="480" w:firstLineChars="200"/>
        <w:textAlignment w:val="baseline"/>
        <w:rPr>
          <w:rFonts w:hint="eastAsia" w:ascii="宋体" w:hAnsi="宋体"/>
          <w:sz w:val="24"/>
          <w:szCs w:val="24"/>
        </w:rPr>
      </w:pPr>
    </w:p>
    <w:p w14:paraId="7DA05F10">
      <w:pPr>
        <w:widowControl/>
        <w:snapToGrid w:val="0"/>
        <w:spacing w:line="360" w:lineRule="auto"/>
        <w:ind w:firstLine="480" w:firstLineChars="200"/>
        <w:textAlignment w:val="baseline"/>
        <w:rPr>
          <w:rFonts w:hint="eastAsia" w:ascii="宋体" w:hAnsi="宋体"/>
          <w:sz w:val="24"/>
          <w:szCs w:val="24"/>
        </w:rPr>
      </w:pPr>
    </w:p>
    <w:p w14:paraId="7175CBD3">
      <w:pPr>
        <w:widowControl/>
        <w:numPr>
          <w:ilvl w:val="0"/>
          <w:numId w:val="3"/>
        </w:numPr>
        <w:snapToGrid w:val="0"/>
        <w:spacing w:line="420" w:lineRule="atLeast"/>
        <w:ind w:leftChars="0"/>
        <w:textAlignment w:val="baseline"/>
        <w:rPr>
          <w:rFonts w:hint="eastAsia" w:ascii="宋体" w:hAnsi="宋体" w:cs="Arial"/>
          <w:b/>
          <w:kern w:val="0"/>
          <w:sz w:val="24"/>
          <w:lang w:val="en-US" w:eastAsia="zh-CN"/>
        </w:rPr>
      </w:pPr>
      <w:r>
        <w:rPr>
          <w:rFonts w:hint="eastAsia" w:ascii="宋体" w:hAnsi="宋体" w:cs="Arial"/>
          <w:b/>
          <w:kern w:val="0"/>
          <w:sz w:val="24"/>
          <w:lang w:val="en-US" w:eastAsia="zh-CN"/>
        </w:rPr>
        <w:t>评分办法</w:t>
      </w:r>
    </w:p>
    <w:p w14:paraId="565B5E01">
      <w:pPr>
        <w:widowControl/>
        <w:numPr>
          <w:ilvl w:val="0"/>
          <w:numId w:val="0"/>
        </w:numPr>
        <w:snapToGrid w:val="0"/>
        <w:spacing w:line="420" w:lineRule="atLeast"/>
        <w:textAlignment w:val="baseline"/>
        <w:rPr>
          <w:rFonts w:hint="default" w:ascii="宋体" w:hAnsi="宋体" w:cs="Arial"/>
          <w:b/>
          <w:kern w:val="0"/>
          <w:sz w:val="24"/>
          <w:lang w:val="en-US" w:eastAsia="zh-CN"/>
        </w:rPr>
      </w:pPr>
    </w:p>
    <w:tbl>
      <w:tblPr>
        <w:tblStyle w:val="4"/>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0"/>
        <w:gridCol w:w="6150"/>
      </w:tblGrid>
      <w:tr w14:paraId="0C3E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570" w:type="dxa"/>
            <w:noWrap w:val="0"/>
            <w:vAlign w:val="center"/>
          </w:tcPr>
          <w:p w14:paraId="096BF60C">
            <w:pPr>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评审项目</w:t>
            </w:r>
          </w:p>
        </w:tc>
        <w:tc>
          <w:tcPr>
            <w:tcW w:w="6150" w:type="dxa"/>
            <w:noWrap w:val="0"/>
            <w:vAlign w:val="center"/>
          </w:tcPr>
          <w:p w14:paraId="3B8C064E">
            <w:pPr>
              <w:spacing w:line="360" w:lineRule="auto"/>
              <w:ind w:firstLine="482"/>
              <w:jc w:val="center"/>
              <w:rPr>
                <w:rFonts w:ascii="宋体" w:hAnsi="宋体" w:cs="宋体"/>
                <w:b/>
                <w:bCs/>
                <w:sz w:val="24"/>
                <w:highlight w:val="none"/>
              </w:rPr>
            </w:pPr>
            <w:r>
              <w:rPr>
                <w:rFonts w:hint="eastAsia" w:ascii="宋体" w:hAnsi="宋体" w:cs="宋体"/>
                <w:b/>
                <w:bCs/>
                <w:sz w:val="24"/>
                <w:highlight w:val="none"/>
              </w:rPr>
              <w:t>评 分 依 据</w:t>
            </w:r>
          </w:p>
        </w:tc>
      </w:tr>
      <w:tr w14:paraId="676C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2570" w:type="dxa"/>
            <w:noWrap w:val="0"/>
            <w:vAlign w:val="center"/>
          </w:tcPr>
          <w:p w14:paraId="0F91D76A">
            <w:pPr>
              <w:spacing w:line="360" w:lineRule="auto"/>
              <w:jc w:val="center"/>
              <w:rPr>
                <w:rFonts w:ascii="宋体" w:hAnsi="宋体" w:cs="宋体"/>
                <w:sz w:val="22"/>
                <w:szCs w:val="18"/>
                <w:highlight w:val="none"/>
              </w:rPr>
            </w:pPr>
            <w:r>
              <w:rPr>
                <w:rFonts w:hint="eastAsia" w:ascii="宋体" w:hAnsi="宋体" w:cs="宋体"/>
                <w:sz w:val="22"/>
                <w:szCs w:val="18"/>
                <w:highlight w:val="none"/>
              </w:rPr>
              <w:t>价格</w:t>
            </w:r>
          </w:p>
          <w:p w14:paraId="28A3A9D3">
            <w:pPr>
              <w:spacing w:line="360" w:lineRule="auto"/>
              <w:jc w:val="center"/>
              <w:rPr>
                <w:rFonts w:ascii="宋体" w:hAnsi="宋体" w:cs="宋体"/>
                <w:sz w:val="22"/>
                <w:szCs w:val="18"/>
                <w:highlight w:val="none"/>
              </w:rPr>
            </w:pPr>
            <w:r>
              <w:rPr>
                <w:rFonts w:hint="eastAsia" w:ascii="宋体" w:hAnsi="宋体" w:cs="宋体"/>
                <w:sz w:val="22"/>
                <w:szCs w:val="18"/>
                <w:highlight w:val="none"/>
              </w:rPr>
              <w:t>（</w:t>
            </w:r>
            <w:r>
              <w:rPr>
                <w:rFonts w:hint="eastAsia" w:ascii="宋体" w:hAnsi="宋体" w:cs="宋体"/>
                <w:sz w:val="22"/>
                <w:szCs w:val="18"/>
                <w:highlight w:val="none"/>
                <w:lang w:val="en-US" w:eastAsia="zh-CN"/>
              </w:rPr>
              <w:t>30</w:t>
            </w:r>
            <w:r>
              <w:rPr>
                <w:rFonts w:hint="eastAsia" w:ascii="宋体" w:hAnsi="宋体" w:cs="宋体"/>
                <w:sz w:val="22"/>
                <w:szCs w:val="18"/>
                <w:highlight w:val="none"/>
              </w:rPr>
              <w:t>分）</w:t>
            </w:r>
          </w:p>
        </w:tc>
        <w:tc>
          <w:tcPr>
            <w:tcW w:w="6150" w:type="dxa"/>
            <w:noWrap w:val="0"/>
            <w:vAlign w:val="center"/>
          </w:tcPr>
          <w:p w14:paraId="46477261">
            <w:pPr>
              <w:spacing w:line="360" w:lineRule="auto"/>
              <w:jc w:val="left"/>
              <w:rPr>
                <w:rFonts w:hint="eastAsia" w:ascii="宋体" w:hAnsi="宋体" w:cs="宋体"/>
                <w:color w:val="auto"/>
                <w:sz w:val="22"/>
                <w:szCs w:val="18"/>
                <w:highlight w:val="none"/>
              </w:rPr>
            </w:pP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20万</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20-50</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50-500</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5分；结算</w:t>
            </w:r>
            <w:r>
              <w:rPr>
                <w:rFonts w:hint="eastAsia" w:ascii="宋体" w:hAnsi="宋体" w:cs="宋体"/>
                <w:color w:val="auto"/>
                <w:sz w:val="22"/>
                <w:szCs w:val="18"/>
                <w:highlight w:val="none"/>
              </w:rPr>
              <w:t>审计费率</w:t>
            </w:r>
            <w:r>
              <w:rPr>
                <w:rFonts w:hint="eastAsia" w:ascii="宋体" w:hAnsi="宋体" w:cs="宋体"/>
                <w:color w:val="auto"/>
                <w:sz w:val="22"/>
                <w:szCs w:val="18"/>
                <w:highlight w:val="none"/>
                <w:lang w:val="en-US" w:eastAsia="zh-CN"/>
              </w:rPr>
              <w:t>10</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eastAsia="zh-CN"/>
              </w:rPr>
              <w:t>；</w:t>
            </w:r>
            <w:r>
              <w:rPr>
                <w:rFonts w:hint="eastAsia" w:ascii="宋体" w:hAnsi="宋体" w:cs="宋体"/>
                <w:color w:val="auto"/>
                <w:sz w:val="22"/>
                <w:szCs w:val="18"/>
                <w:highlight w:val="none"/>
                <w:lang w:val="en-US" w:eastAsia="zh-CN"/>
              </w:rPr>
              <w:t>认质认价</w:t>
            </w:r>
            <w:r>
              <w:rPr>
                <w:rFonts w:hint="eastAsia" w:ascii="宋体" w:hAnsi="宋体" w:cs="宋体"/>
                <w:color w:val="auto"/>
                <w:sz w:val="22"/>
                <w:szCs w:val="18"/>
                <w:highlight w:val="none"/>
              </w:rPr>
              <w:t>费率</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p>
          <w:p w14:paraId="2FCCC218">
            <w:pPr>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以进入评审的有效投标费率的最低值为基准价，基准价为价格分的满分。</w:t>
            </w:r>
          </w:p>
          <w:p w14:paraId="0B17AED1">
            <w:pPr>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各供应商分项价格得分=基准价/投标费率*分项分</w:t>
            </w:r>
          </w:p>
          <w:p w14:paraId="1FE0584C">
            <w:pPr>
              <w:spacing w:line="360" w:lineRule="auto"/>
              <w:jc w:val="left"/>
              <w:rPr>
                <w:rFonts w:ascii="宋体" w:hAnsi="宋体" w:cs="宋体"/>
                <w:sz w:val="22"/>
                <w:szCs w:val="18"/>
                <w:highlight w:val="none"/>
              </w:rPr>
            </w:pPr>
            <w:r>
              <w:rPr>
                <w:rFonts w:hint="eastAsia" w:ascii="宋体" w:hAnsi="宋体" w:cs="宋体"/>
                <w:sz w:val="22"/>
                <w:szCs w:val="18"/>
                <w:highlight w:val="none"/>
              </w:rPr>
              <w:t>各供应商总价格得分为各分项价格得分</w:t>
            </w:r>
            <w:bookmarkStart w:id="1" w:name="_GoBack"/>
            <w:bookmarkEnd w:id="1"/>
            <w:r>
              <w:rPr>
                <w:rFonts w:hint="eastAsia" w:ascii="宋体" w:hAnsi="宋体" w:cs="宋体"/>
                <w:sz w:val="22"/>
                <w:szCs w:val="18"/>
                <w:highlight w:val="none"/>
              </w:rPr>
              <w:t>之和</w:t>
            </w:r>
          </w:p>
        </w:tc>
      </w:tr>
      <w:tr w14:paraId="4460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4A0D15C9">
            <w:pPr>
              <w:spacing w:line="360" w:lineRule="auto"/>
              <w:jc w:val="center"/>
              <w:rPr>
                <w:rFonts w:ascii="宋体" w:hAnsi="宋体" w:cs="宋体"/>
                <w:sz w:val="22"/>
                <w:szCs w:val="18"/>
                <w:highlight w:val="none"/>
              </w:rPr>
            </w:pPr>
            <w:r>
              <w:rPr>
                <w:rFonts w:hint="eastAsia" w:ascii="宋体" w:hAnsi="宋体" w:cs="宋体"/>
                <w:sz w:val="22"/>
                <w:szCs w:val="18"/>
                <w:highlight w:val="none"/>
                <w:lang w:val="en-US" w:eastAsia="zh-CN"/>
              </w:rPr>
              <w:t>技术方案</w:t>
            </w:r>
            <w:r>
              <w:rPr>
                <w:rFonts w:hint="eastAsia" w:ascii="宋体" w:hAnsi="宋体" w:cs="宋体"/>
                <w:sz w:val="22"/>
                <w:szCs w:val="18"/>
                <w:highlight w:val="none"/>
              </w:rPr>
              <w:t>（</w:t>
            </w:r>
            <w:r>
              <w:rPr>
                <w:rFonts w:hint="eastAsia" w:ascii="宋体" w:hAnsi="宋体" w:cs="宋体"/>
                <w:sz w:val="22"/>
                <w:szCs w:val="18"/>
                <w:highlight w:val="none"/>
                <w:lang w:val="en-US" w:eastAsia="zh-CN"/>
              </w:rPr>
              <w:t>45</w:t>
            </w:r>
            <w:r>
              <w:rPr>
                <w:rFonts w:hint="eastAsia" w:ascii="宋体" w:hAnsi="宋体" w:cs="宋体"/>
                <w:sz w:val="22"/>
                <w:szCs w:val="18"/>
                <w:highlight w:val="none"/>
              </w:rPr>
              <w:t>分）</w:t>
            </w:r>
          </w:p>
          <w:p w14:paraId="6EBF27A5">
            <w:pPr>
              <w:spacing w:line="360" w:lineRule="auto"/>
              <w:jc w:val="center"/>
              <w:rPr>
                <w:rFonts w:ascii="宋体" w:hAnsi="宋体" w:cs="宋体"/>
                <w:sz w:val="22"/>
                <w:szCs w:val="18"/>
                <w:highlight w:val="none"/>
              </w:rPr>
            </w:pPr>
          </w:p>
        </w:tc>
        <w:tc>
          <w:tcPr>
            <w:tcW w:w="6150" w:type="dxa"/>
            <w:noWrap w:val="0"/>
            <w:vAlign w:val="center"/>
          </w:tcPr>
          <w:p w14:paraId="1C348D50">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ab/>
            </w:r>
            <w:r>
              <w:rPr>
                <w:rFonts w:hint="eastAsia" w:ascii="宋体" w:hAnsi="宋体" w:cs="宋体"/>
                <w:sz w:val="22"/>
                <w:szCs w:val="18"/>
                <w:highlight w:val="none"/>
              </w:rPr>
              <w:t>1、响应方案整体的完整性、针对性以及对本项目的理解程度：好得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30424C24">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2、造价咨询服务过程中可能出现的问题进行分析及其应对措施：好得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156277D1">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3、造价咨询服务工作质量及其保证措施：好得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5B9B08CA">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4、造价咨询服务工作进度实施计划及其保证措施：好得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000AB3BF">
            <w:pPr>
              <w:widowControl/>
              <w:spacing w:line="360" w:lineRule="auto"/>
              <w:jc w:val="left"/>
              <w:rPr>
                <w:rFonts w:hint="default" w:ascii="宋体" w:hAnsi="宋体" w:eastAsia="宋体" w:cs="宋体"/>
                <w:b w:val="0"/>
                <w:bCs w:val="0"/>
                <w:kern w:val="0"/>
                <w:sz w:val="22"/>
                <w:szCs w:val="22"/>
                <w:highlight w:val="none"/>
                <w:lang w:val="en-US" w:eastAsia="zh-CN" w:bidi="ar"/>
              </w:rPr>
            </w:pPr>
            <w:r>
              <w:rPr>
                <w:rFonts w:hint="eastAsia" w:ascii="宋体" w:hAnsi="宋体" w:cs="宋体"/>
                <w:sz w:val="22"/>
                <w:szCs w:val="18"/>
                <w:highlight w:val="none"/>
              </w:rPr>
              <w:t>5、供应商组成团队项目组织架构、工作流程及人员职责分工：好得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r>
              <w:rPr>
                <w:rFonts w:hint="eastAsia" w:ascii="宋体" w:hAnsi="宋体" w:eastAsia="宋体" w:cs="宋体"/>
                <w:b w:val="0"/>
                <w:bCs w:val="0"/>
                <w:kern w:val="0"/>
                <w:sz w:val="22"/>
                <w:szCs w:val="22"/>
                <w:highlight w:val="none"/>
                <w:lang w:val="en-US" w:eastAsia="zh-CN" w:bidi="ar"/>
              </w:rPr>
              <w:t>。</w:t>
            </w:r>
          </w:p>
        </w:tc>
      </w:tr>
      <w:tr w14:paraId="2616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02FD25F2">
            <w:pPr>
              <w:spacing w:line="360" w:lineRule="auto"/>
              <w:jc w:val="center"/>
              <w:rPr>
                <w:rFonts w:ascii="宋体" w:hAnsi="宋体" w:cs="宋体"/>
                <w:sz w:val="21"/>
                <w:szCs w:val="16"/>
                <w:highlight w:val="none"/>
              </w:rPr>
            </w:pPr>
            <w:r>
              <w:rPr>
                <w:rFonts w:hint="eastAsia" w:ascii="宋体" w:hAnsi="宋体" w:cs="宋体"/>
                <w:sz w:val="21"/>
                <w:szCs w:val="16"/>
                <w:highlight w:val="none"/>
              </w:rPr>
              <w:t>人员配备（</w:t>
            </w:r>
            <w:r>
              <w:rPr>
                <w:rFonts w:hint="eastAsia" w:ascii="宋体" w:hAnsi="宋体" w:cs="宋体"/>
                <w:sz w:val="21"/>
                <w:szCs w:val="16"/>
                <w:highlight w:val="none"/>
                <w:lang w:val="en-US" w:eastAsia="zh-CN"/>
              </w:rPr>
              <w:t>10</w:t>
            </w:r>
            <w:r>
              <w:rPr>
                <w:rFonts w:hint="eastAsia" w:ascii="宋体" w:hAnsi="宋体" w:cs="宋体"/>
                <w:sz w:val="21"/>
                <w:szCs w:val="16"/>
                <w:highlight w:val="none"/>
              </w:rPr>
              <w:t>分）</w:t>
            </w:r>
          </w:p>
          <w:p w14:paraId="0555DC58">
            <w:pPr>
              <w:spacing w:line="360" w:lineRule="auto"/>
              <w:jc w:val="center"/>
              <w:rPr>
                <w:rFonts w:ascii="宋体" w:hAnsi="宋体" w:cs="宋体"/>
                <w:sz w:val="21"/>
                <w:szCs w:val="16"/>
                <w:highlight w:val="none"/>
              </w:rPr>
            </w:pPr>
          </w:p>
        </w:tc>
        <w:tc>
          <w:tcPr>
            <w:tcW w:w="6150" w:type="dxa"/>
            <w:noWrap w:val="0"/>
            <w:vAlign w:val="center"/>
          </w:tcPr>
          <w:p w14:paraId="4CBA41F5">
            <w:pPr>
              <w:widowControl/>
              <w:spacing w:line="360" w:lineRule="auto"/>
              <w:jc w:val="left"/>
              <w:rPr>
                <w:rFonts w:hint="eastAsia"/>
                <w:sz w:val="20"/>
                <w:szCs w:val="18"/>
              </w:rPr>
            </w:pPr>
            <w:r>
              <w:rPr>
                <w:rFonts w:hint="eastAsia"/>
                <w:sz w:val="20"/>
                <w:szCs w:val="18"/>
              </w:rPr>
              <w:t>项目组成员每增加1人且具有相关专业二级造价工程师执业资格的加2分；每增加1人且具备相关专业一级造价工程师执业资格(旧版注册证书为造价工程师，</w:t>
            </w:r>
            <w:r>
              <w:rPr>
                <w:rFonts w:hint="eastAsia"/>
                <w:sz w:val="20"/>
                <w:szCs w:val="18"/>
                <w:lang w:eastAsia="zh-CN"/>
              </w:rPr>
              <w:t>（</w:t>
            </w:r>
            <w:r>
              <w:rPr>
                <w:rFonts w:hint="eastAsia"/>
                <w:sz w:val="20"/>
                <w:szCs w:val="18"/>
              </w:rPr>
              <w:t>不分等级）加3分，满分</w:t>
            </w:r>
            <w:r>
              <w:rPr>
                <w:rFonts w:hint="eastAsia"/>
                <w:sz w:val="20"/>
                <w:szCs w:val="18"/>
                <w:lang w:val="en-US" w:eastAsia="zh-CN"/>
              </w:rPr>
              <w:t>10</w:t>
            </w:r>
            <w:r>
              <w:rPr>
                <w:rFonts w:hint="eastAsia"/>
                <w:sz w:val="20"/>
                <w:szCs w:val="18"/>
              </w:rPr>
              <w:t>分。（提供证明材料复印件加盖供应商公章）</w:t>
            </w:r>
          </w:p>
          <w:p w14:paraId="53875026">
            <w:pPr>
              <w:widowControl/>
              <w:spacing w:line="360" w:lineRule="auto"/>
              <w:jc w:val="left"/>
              <w:rPr>
                <w:rFonts w:hint="eastAsia" w:ascii="宋体" w:hAnsi="宋体" w:cs="宋体"/>
                <w:sz w:val="21"/>
                <w:szCs w:val="16"/>
                <w:highlight w:val="none"/>
              </w:rPr>
            </w:pPr>
            <w:r>
              <w:rPr>
                <w:rFonts w:hint="eastAsia"/>
                <w:sz w:val="20"/>
                <w:szCs w:val="18"/>
              </w:rPr>
              <w:t>（注：比选时提供项目组人员名单，由供应商提供本企业为上述人员依法缴纳的2025年9月以来的社会保障资金相关材料、一级造价工程师执业资格证书、注册证书及职称证书复印件。不提供不得分。）</w:t>
            </w:r>
          </w:p>
        </w:tc>
      </w:tr>
      <w:tr w14:paraId="306E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52C92031">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供应商业绩（</w:t>
            </w:r>
            <w:r>
              <w:rPr>
                <w:rFonts w:hint="eastAsia" w:ascii="宋体" w:hAnsi="宋体" w:cs="宋体"/>
                <w:sz w:val="21"/>
                <w:szCs w:val="16"/>
                <w:highlight w:val="none"/>
                <w:lang w:val="en-US" w:eastAsia="zh-CN"/>
              </w:rPr>
              <w:t>10</w:t>
            </w:r>
            <w:r>
              <w:rPr>
                <w:rFonts w:hint="eastAsia" w:ascii="宋体" w:hAnsi="宋体" w:cs="宋体"/>
                <w:sz w:val="21"/>
                <w:szCs w:val="16"/>
                <w:highlight w:val="none"/>
              </w:rPr>
              <w:t>分）</w:t>
            </w:r>
          </w:p>
        </w:tc>
        <w:tc>
          <w:tcPr>
            <w:tcW w:w="6150" w:type="dxa"/>
            <w:noWrap w:val="0"/>
            <w:vAlign w:val="center"/>
          </w:tcPr>
          <w:p w14:paraId="7E4DE766">
            <w:pPr>
              <w:widowControl/>
              <w:spacing w:line="360" w:lineRule="auto"/>
              <w:jc w:val="left"/>
              <w:rPr>
                <w:rFonts w:hint="eastAsia"/>
                <w:sz w:val="20"/>
                <w:szCs w:val="18"/>
              </w:rPr>
            </w:pPr>
            <w:r>
              <w:rPr>
                <w:rFonts w:hint="eastAsia"/>
                <w:sz w:val="20"/>
                <w:szCs w:val="18"/>
              </w:rPr>
              <w:tab/>
            </w:r>
            <w:r>
              <w:rPr>
                <w:rFonts w:hint="eastAsia"/>
                <w:sz w:val="20"/>
                <w:szCs w:val="18"/>
              </w:rPr>
              <w:t>响应文件中提供供应商为卖方（乙方），合同签订日期在2023年1月1日（含）后，合同内容为与本次采购同类型服务（应为提供入围年度审计服务）的类似销售业绩合同复印件，每份得2分，最高得10分。（注：没有签订时间的不予认可，续签合同算一份）</w:t>
            </w:r>
          </w:p>
        </w:tc>
      </w:tr>
      <w:tr w14:paraId="31B6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61A20444">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资信等级评价</w:t>
            </w:r>
          </w:p>
          <w:p w14:paraId="46E0926D">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w:t>
            </w:r>
            <w:r>
              <w:rPr>
                <w:rFonts w:hint="eastAsia" w:ascii="宋体" w:hAnsi="宋体" w:cs="宋体"/>
                <w:sz w:val="21"/>
                <w:szCs w:val="16"/>
                <w:highlight w:val="none"/>
                <w:lang w:val="en-US" w:eastAsia="zh-CN"/>
              </w:rPr>
              <w:t>5</w:t>
            </w:r>
            <w:r>
              <w:rPr>
                <w:rFonts w:hint="eastAsia" w:ascii="宋体" w:hAnsi="宋体" w:cs="宋体"/>
                <w:sz w:val="21"/>
                <w:szCs w:val="16"/>
                <w:highlight w:val="none"/>
              </w:rPr>
              <w:t>分）</w:t>
            </w:r>
          </w:p>
        </w:tc>
        <w:tc>
          <w:tcPr>
            <w:tcW w:w="6150" w:type="dxa"/>
            <w:noWrap w:val="0"/>
            <w:vAlign w:val="center"/>
          </w:tcPr>
          <w:p w14:paraId="6BD2116D">
            <w:pPr>
              <w:widowControl/>
              <w:spacing w:line="360" w:lineRule="auto"/>
              <w:jc w:val="left"/>
              <w:rPr>
                <w:rFonts w:hint="eastAsia"/>
                <w:sz w:val="20"/>
                <w:szCs w:val="18"/>
              </w:rPr>
            </w:pPr>
            <w:r>
              <w:rPr>
                <w:rFonts w:hint="eastAsia"/>
                <w:sz w:val="20"/>
                <w:szCs w:val="18"/>
              </w:rPr>
              <w:t>具有有效期内的国家级造价协会颁发的 AAA 级证书或具有省级造价协会颁发的 AAAAA 级证书或工程造价咨询甲级及以上资质的，得</w:t>
            </w:r>
            <w:r>
              <w:rPr>
                <w:rFonts w:hint="eastAsia"/>
                <w:sz w:val="20"/>
                <w:szCs w:val="18"/>
                <w:lang w:val="en-US" w:eastAsia="zh-CN"/>
              </w:rPr>
              <w:t>5</w:t>
            </w:r>
            <w:r>
              <w:rPr>
                <w:rFonts w:hint="eastAsia"/>
                <w:sz w:val="20"/>
                <w:szCs w:val="18"/>
              </w:rPr>
              <w:t>分；具有有效期内的国家级造价协会颁发的 AA 级证书或具有省级造价协会颁发的AAAA级证书或工程造价咨询乙级及以上资质的，得</w:t>
            </w:r>
            <w:r>
              <w:rPr>
                <w:rFonts w:hint="eastAsia"/>
                <w:sz w:val="20"/>
                <w:szCs w:val="18"/>
                <w:lang w:val="en-US" w:eastAsia="zh-CN"/>
              </w:rPr>
              <w:t>3</w:t>
            </w:r>
            <w:r>
              <w:rPr>
                <w:rFonts w:hint="eastAsia"/>
                <w:sz w:val="20"/>
                <w:szCs w:val="18"/>
              </w:rPr>
              <w:t>分。</w:t>
            </w:r>
          </w:p>
          <w:p w14:paraId="7AAF579B">
            <w:pPr>
              <w:widowControl/>
              <w:spacing w:line="360" w:lineRule="auto"/>
              <w:jc w:val="left"/>
              <w:rPr>
                <w:rFonts w:hint="eastAsia"/>
                <w:sz w:val="20"/>
                <w:szCs w:val="18"/>
              </w:rPr>
            </w:pPr>
            <w:r>
              <w:rPr>
                <w:rFonts w:hint="eastAsia"/>
                <w:sz w:val="20"/>
                <w:szCs w:val="18"/>
              </w:rPr>
              <w:t>本项最高得</w:t>
            </w:r>
            <w:r>
              <w:rPr>
                <w:rFonts w:hint="eastAsia"/>
                <w:sz w:val="20"/>
                <w:szCs w:val="18"/>
                <w:lang w:val="en-US" w:eastAsia="zh-CN"/>
              </w:rPr>
              <w:t>5</w:t>
            </w:r>
            <w:r>
              <w:rPr>
                <w:rFonts w:hint="eastAsia"/>
                <w:sz w:val="20"/>
                <w:szCs w:val="18"/>
              </w:rPr>
              <w:t>分。（比选响应文件提供证书复印材料，未提供不得分。）</w:t>
            </w:r>
          </w:p>
        </w:tc>
      </w:tr>
    </w:tbl>
    <w:p w14:paraId="2F7E95FD">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2313DC31">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6A834E76">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5B9668FF">
      <w:pPr>
        <w:spacing w:line="360" w:lineRule="auto"/>
        <w:rPr>
          <w:color w:val="auto"/>
          <w:sz w:val="24"/>
          <w:szCs w:val="24"/>
        </w:rPr>
      </w:pPr>
    </w:p>
    <w:p w14:paraId="0C030E7F">
      <w:pPr>
        <w:spacing w:line="360" w:lineRule="auto"/>
        <w:rPr>
          <w:color w:val="auto"/>
          <w:sz w:val="24"/>
          <w:szCs w:val="24"/>
        </w:rPr>
      </w:pPr>
    </w:p>
    <w:p w14:paraId="2C938BB2">
      <w:pPr>
        <w:spacing w:line="360" w:lineRule="auto"/>
        <w:rPr>
          <w:color w:val="auto"/>
          <w:sz w:val="24"/>
          <w:szCs w:val="24"/>
        </w:rPr>
      </w:pPr>
    </w:p>
    <w:p w14:paraId="1439FE41">
      <w:pPr>
        <w:spacing w:line="360" w:lineRule="auto"/>
        <w:rPr>
          <w:color w:val="auto"/>
          <w:sz w:val="24"/>
          <w:szCs w:val="24"/>
        </w:rPr>
      </w:pPr>
    </w:p>
    <w:p w14:paraId="3308317F">
      <w:pPr>
        <w:spacing w:line="360" w:lineRule="auto"/>
        <w:rPr>
          <w:color w:val="auto"/>
          <w:sz w:val="24"/>
          <w:szCs w:val="24"/>
        </w:rPr>
      </w:pPr>
    </w:p>
    <w:p w14:paraId="13CD5E56">
      <w:pPr>
        <w:spacing w:line="360" w:lineRule="auto"/>
        <w:rPr>
          <w:color w:val="auto"/>
          <w:sz w:val="24"/>
          <w:szCs w:val="24"/>
        </w:rPr>
      </w:pPr>
    </w:p>
    <w:p w14:paraId="1C79FA40">
      <w:pPr>
        <w:spacing w:line="360" w:lineRule="auto"/>
        <w:rPr>
          <w:color w:val="auto"/>
          <w:sz w:val="24"/>
          <w:szCs w:val="24"/>
        </w:rPr>
      </w:pPr>
    </w:p>
    <w:p w14:paraId="75BAE03D">
      <w:pPr>
        <w:rPr>
          <w:rFonts w:hint="default"/>
          <w:b/>
          <w:sz w:val="24"/>
          <w:lang w:val="en-US" w:eastAsia="zh-CN"/>
        </w:rPr>
      </w:pPr>
      <w:r>
        <w:rPr>
          <w:rFonts w:hint="eastAsia"/>
          <w:b/>
          <w:sz w:val="24"/>
          <w:lang w:val="en-US" w:eastAsia="zh-CN"/>
        </w:rPr>
        <w:t>附件1</w:t>
      </w:r>
    </w:p>
    <w:p w14:paraId="5E9501AC">
      <w:pPr>
        <w:shd w:val="clear" w:color="auto" w:fill="FFFFFF"/>
        <w:jc w:val="center"/>
        <w:rPr>
          <w:rFonts w:hint="eastAsia" w:ascii="宋体" w:hAnsi="宋体" w:eastAsia="宋体" w:cs="宋体"/>
          <w:color w:val="auto"/>
          <w:sz w:val="28"/>
          <w:szCs w:val="28"/>
        </w:rPr>
      </w:pPr>
      <w:r>
        <w:rPr>
          <w:rFonts w:hint="eastAsia" w:ascii="宋体" w:hAnsi="宋体" w:eastAsia="宋体" w:cs="宋体"/>
          <w:b/>
          <w:color w:val="auto"/>
          <w:sz w:val="28"/>
          <w:szCs w:val="28"/>
          <w:lang w:val="en-US" w:eastAsia="zh-CN"/>
        </w:rPr>
        <w:t>202</w:t>
      </w:r>
      <w:r>
        <w:rPr>
          <w:rFonts w:hint="eastAsia" w:ascii="宋体" w:hAnsi="宋体" w:cs="宋体"/>
          <w:b/>
          <w:color w:val="auto"/>
          <w:sz w:val="28"/>
          <w:szCs w:val="28"/>
          <w:lang w:val="en-US" w:eastAsia="zh-CN"/>
        </w:rPr>
        <w:t>6</w:t>
      </w:r>
      <w:bookmarkStart w:id="0" w:name="_Toc280800733"/>
      <w:r>
        <w:rPr>
          <w:rFonts w:hint="eastAsia" w:ascii="宋体" w:hAnsi="宋体" w:eastAsia="宋体" w:cs="宋体"/>
          <w:b/>
          <w:color w:val="auto"/>
          <w:sz w:val="28"/>
          <w:szCs w:val="28"/>
          <w:lang w:val="en-US" w:eastAsia="zh-CN"/>
        </w:rPr>
        <w:t>年</w:t>
      </w:r>
      <w:r>
        <w:rPr>
          <w:rFonts w:hint="eastAsia" w:ascii="宋体" w:hAnsi="宋体" w:eastAsia="宋体" w:cs="宋体"/>
          <w:b/>
          <w:color w:val="auto"/>
          <w:sz w:val="28"/>
          <w:szCs w:val="28"/>
        </w:rPr>
        <w:t>建设工程项目委托审计服务合同</w:t>
      </w:r>
    </w:p>
    <w:tbl>
      <w:tblPr>
        <w:tblStyle w:val="4"/>
        <w:tblW w:w="0" w:type="auto"/>
        <w:tblInd w:w="0" w:type="dxa"/>
        <w:shd w:val="clear" w:color="auto" w:fill="FFFFFF"/>
        <w:tblLayout w:type="fixed"/>
        <w:tblCellMar>
          <w:top w:w="0" w:type="dxa"/>
          <w:left w:w="0" w:type="dxa"/>
          <w:bottom w:w="0" w:type="dxa"/>
          <w:right w:w="0" w:type="dxa"/>
        </w:tblCellMar>
      </w:tblPr>
      <w:tblGrid>
        <w:gridCol w:w="4814"/>
        <w:gridCol w:w="4400"/>
      </w:tblGrid>
      <w:tr w14:paraId="103EC198">
        <w:tblPrEx>
          <w:shd w:val="clear" w:color="auto" w:fill="FFFFFF"/>
          <w:tblCellMar>
            <w:top w:w="0" w:type="dxa"/>
            <w:left w:w="0" w:type="dxa"/>
            <w:bottom w:w="0" w:type="dxa"/>
            <w:right w:w="0" w:type="dxa"/>
          </w:tblCellMar>
        </w:tblPrEx>
        <w:trPr>
          <w:trHeight w:val="596" w:hRule="atLeast"/>
        </w:trPr>
        <w:tc>
          <w:tcPr>
            <w:tcW w:w="4814" w:type="dxa"/>
            <w:shd w:val="clear" w:color="auto" w:fill="FFFFFF"/>
            <w:noWrap w:val="0"/>
            <w:tcMar>
              <w:top w:w="0" w:type="dxa"/>
              <w:left w:w="108" w:type="dxa"/>
              <w:bottom w:w="0" w:type="dxa"/>
              <w:right w:w="108" w:type="dxa"/>
            </w:tcMar>
            <w:vAlign w:val="center"/>
          </w:tcPr>
          <w:p w14:paraId="73543F31">
            <w:pPr>
              <w:spacing w:line="460" w:lineRule="atLeast"/>
              <w:rPr>
                <w:rFonts w:hint="eastAsia" w:ascii="宋体" w:hAnsi="宋体" w:eastAsia="宋体" w:cs="宋体"/>
                <w:color w:val="auto"/>
                <w:sz w:val="24"/>
                <w:szCs w:val="24"/>
              </w:rPr>
            </w:pPr>
            <w:r>
              <w:rPr>
                <w:rFonts w:hint="eastAsia" w:ascii="宋体" w:hAnsi="宋体" w:eastAsia="宋体" w:cs="宋体"/>
                <w:bCs/>
                <w:color w:val="auto"/>
                <w:sz w:val="24"/>
                <w:szCs w:val="24"/>
              </w:rPr>
              <w:t>甲方：徐州工业职业技术学院</w:t>
            </w:r>
          </w:p>
        </w:tc>
        <w:tc>
          <w:tcPr>
            <w:tcW w:w="4400" w:type="dxa"/>
            <w:shd w:val="clear" w:color="auto" w:fill="FFFFFF"/>
            <w:noWrap w:val="0"/>
            <w:tcMar>
              <w:top w:w="0" w:type="dxa"/>
              <w:left w:w="108" w:type="dxa"/>
              <w:bottom w:w="0" w:type="dxa"/>
              <w:right w:w="108" w:type="dxa"/>
            </w:tcMar>
            <w:vAlign w:val="center"/>
          </w:tcPr>
          <w:p w14:paraId="6BE50874">
            <w:pPr>
              <w:spacing w:line="460" w:lineRule="atLeast"/>
              <w:ind w:right="844"/>
              <w:rPr>
                <w:rFonts w:hint="eastAsia" w:ascii="宋体" w:hAnsi="宋体" w:eastAsia="宋体" w:cs="宋体"/>
                <w:color w:val="auto"/>
                <w:sz w:val="24"/>
                <w:szCs w:val="24"/>
              </w:rPr>
            </w:pPr>
            <w:r>
              <w:rPr>
                <w:rFonts w:hint="eastAsia" w:ascii="宋体" w:hAnsi="宋体" w:eastAsia="宋体" w:cs="宋体"/>
                <w:bCs/>
                <w:color w:val="auto"/>
                <w:sz w:val="24"/>
                <w:szCs w:val="24"/>
              </w:rPr>
              <w:t>合同编号：</w:t>
            </w:r>
          </w:p>
        </w:tc>
      </w:tr>
      <w:tr w14:paraId="06535D91">
        <w:tblPrEx>
          <w:tblCellMar>
            <w:top w:w="0" w:type="dxa"/>
            <w:left w:w="0" w:type="dxa"/>
            <w:bottom w:w="0" w:type="dxa"/>
            <w:right w:w="0" w:type="dxa"/>
          </w:tblCellMar>
        </w:tblPrEx>
        <w:trPr>
          <w:trHeight w:val="645" w:hRule="atLeast"/>
        </w:trPr>
        <w:tc>
          <w:tcPr>
            <w:tcW w:w="4814" w:type="dxa"/>
            <w:shd w:val="clear" w:color="auto" w:fill="FFFFFF"/>
            <w:noWrap w:val="0"/>
            <w:tcMar>
              <w:top w:w="0" w:type="dxa"/>
              <w:left w:w="108" w:type="dxa"/>
              <w:bottom w:w="0" w:type="dxa"/>
              <w:right w:w="108" w:type="dxa"/>
            </w:tcMar>
            <w:vAlign w:val="center"/>
          </w:tcPr>
          <w:p w14:paraId="3EED15C7">
            <w:pPr>
              <w:spacing w:line="460" w:lineRule="atLeast"/>
              <w:ind w:left="2073" w:hanging="2073" w:hangingChars="864"/>
              <w:rPr>
                <w:rFonts w:hint="eastAsia" w:ascii="宋体" w:hAnsi="宋体" w:eastAsia="宋体" w:cs="宋体"/>
                <w:color w:val="auto"/>
                <w:sz w:val="24"/>
                <w:szCs w:val="24"/>
              </w:rPr>
            </w:pPr>
            <w:r>
              <w:rPr>
                <w:rFonts w:hint="eastAsia" w:ascii="宋体" w:hAnsi="宋体" w:eastAsia="宋体" w:cs="宋体"/>
                <w:bCs/>
                <w:color w:val="auto"/>
                <w:sz w:val="24"/>
                <w:szCs w:val="24"/>
              </w:rPr>
              <w:t>乙方：</w:t>
            </w:r>
          </w:p>
        </w:tc>
        <w:tc>
          <w:tcPr>
            <w:tcW w:w="4400" w:type="dxa"/>
            <w:shd w:val="clear" w:color="auto" w:fill="FFFFFF"/>
            <w:noWrap w:val="0"/>
            <w:tcMar>
              <w:top w:w="0" w:type="dxa"/>
              <w:left w:w="108" w:type="dxa"/>
              <w:bottom w:w="0" w:type="dxa"/>
              <w:right w:w="108" w:type="dxa"/>
            </w:tcMar>
            <w:vAlign w:val="top"/>
          </w:tcPr>
          <w:p w14:paraId="3A24440B">
            <w:pPr>
              <w:spacing w:line="460" w:lineRule="atLeast"/>
              <w:ind w:right="77"/>
              <w:jc w:val="both"/>
              <w:rPr>
                <w:rFonts w:hint="eastAsia" w:ascii="宋体" w:hAnsi="宋体" w:eastAsia="宋体" w:cs="宋体"/>
                <w:color w:val="auto"/>
                <w:sz w:val="24"/>
                <w:szCs w:val="24"/>
              </w:rPr>
            </w:pPr>
            <w:r>
              <w:rPr>
                <w:rFonts w:hint="eastAsia" w:ascii="宋体" w:hAnsi="宋体" w:eastAsia="宋体" w:cs="宋体"/>
                <w:color w:val="auto"/>
                <w:sz w:val="24"/>
                <w:szCs w:val="24"/>
              </w:rPr>
              <w:t>合同签订地点：徐州工业职业技术学院</w:t>
            </w:r>
          </w:p>
        </w:tc>
      </w:tr>
      <w:tr w14:paraId="3C669D80">
        <w:tblPrEx>
          <w:tblCellMar>
            <w:top w:w="0" w:type="dxa"/>
            <w:left w:w="0" w:type="dxa"/>
            <w:bottom w:w="0" w:type="dxa"/>
            <w:right w:w="0" w:type="dxa"/>
          </w:tblCellMar>
        </w:tblPrEx>
        <w:trPr>
          <w:trHeight w:val="472" w:hRule="atLeast"/>
        </w:trPr>
        <w:tc>
          <w:tcPr>
            <w:tcW w:w="4814" w:type="dxa"/>
            <w:shd w:val="clear" w:color="auto" w:fill="FFFFFF"/>
            <w:noWrap w:val="0"/>
            <w:tcMar>
              <w:top w:w="0" w:type="dxa"/>
              <w:left w:w="108" w:type="dxa"/>
              <w:bottom w:w="0" w:type="dxa"/>
              <w:right w:w="108" w:type="dxa"/>
            </w:tcMar>
            <w:vAlign w:val="center"/>
          </w:tcPr>
          <w:p w14:paraId="2B128805">
            <w:pPr>
              <w:spacing w:line="4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签订时间：     年   月   日</w:t>
            </w:r>
          </w:p>
        </w:tc>
        <w:tc>
          <w:tcPr>
            <w:tcW w:w="4400" w:type="dxa"/>
            <w:shd w:val="clear" w:color="auto" w:fill="FFFFFF"/>
            <w:noWrap w:val="0"/>
            <w:tcMar>
              <w:top w:w="0" w:type="dxa"/>
              <w:left w:w="108" w:type="dxa"/>
              <w:bottom w:w="0" w:type="dxa"/>
              <w:right w:w="108" w:type="dxa"/>
            </w:tcMar>
            <w:vAlign w:val="center"/>
          </w:tcPr>
          <w:p w14:paraId="058656E9">
            <w:pPr>
              <w:spacing w:line="460" w:lineRule="atLeast"/>
              <w:ind w:right="77"/>
              <w:jc w:val="left"/>
              <w:rPr>
                <w:rFonts w:hint="eastAsia" w:ascii="宋体" w:hAnsi="宋体" w:eastAsia="宋体" w:cs="宋体"/>
                <w:color w:val="auto"/>
                <w:sz w:val="24"/>
                <w:szCs w:val="24"/>
              </w:rPr>
            </w:pPr>
          </w:p>
        </w:tc>
      </w:tr>
    </w:tbl>
    <w:p w14:paraId="765C5D9F">
      <w:pPr>
        <w:spacing w:line="360" w:lineRule="auto"/>
        <w:rPr>
          <w:rFonts w:hint="eastAsia" w:ascii="宋体" w:hAnsi="宋体" w:eastAsia="宋体" w:cs="宋体"/>
          <w:b/>
          <w:color w:val="auto"/>
          <w:sz w:val="24"/>
          <w:szCs w:val="24"/>
        </w:rPr>
      </w:pPr>
    </w:p>
    <w:p w14:paraId="37F1CDB2">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第一条  乙方为甲方服务范围及内容：</w:t>
      </w:r>
    </w:p>
    <w:p w14:paraId="20D5434E">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 xml:space="preserve">1、工程量清单及控制价编制；           </w:t>
      </w:r>
    </w:p>
    <w:p w14:paraId="454B55D7">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2、造价2万元以内工程结算审核；</w:t>
      </w:r>
    </w:p>
    <w:p w14:paraId="543AE6B6">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3、材料认质认价。</w:t>
      </w:r>
    </w:p>
    <w:p w14:paraId="415673C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  服务报价及服务时间</w:t>
      </w:r>
    </w:p>
    <w:p w14:paraId="2C7D9B44">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服务的服务报价：</w:t>
      </w:r>
    </w:p>
    <w:p w14:paraId="3D336A2B">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①清单和控制价编制：工程造价20万元以内，咨询费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元/份；工程造价20~50万元，咨询费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元/份；工程造价</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，咨询费按工程造价的</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‰计取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②小型项目结算审核：咨询费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w:t>
      </w:r>
    </w:p>
    <w:p w14:paraId="07B2FD56">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③材料认质认价：咨询费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元/份。</w:t>
      </w:r>
    </w:p>
    <w:p w14:paraId="3A7E9806">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2、服务期限：</w:t>
      </w:r>
    </w:p>
    <w:p w14:paraId="1C6614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合同服务期限为</w:t>
      </w:r>
      <w:r>
        <w:rPr>
          <w:rFonts w:hint="eastAsia" w:ascii="宋体" w:hAnsi="宋体" w:cs="宋体"/>
          <w:color w:val="auto"/>
          <w:sz w:val="24"/>
          <w:szCs w:val="24"/>
          <w:lang w:val="en-US" w:eastAsia="zh-CN"/>
        </w:rPr>
        <w:t>壹</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r>
        <w:rPr>
          <w:rFonts w:hint="eastAsia" w:ascii="宋体" w:hAnsi="宋体" w:eastAsia="宋体" w:cs="宋体"/>
          <w:color w:val="FF0000"/>
          <w:sz w:val="24"/>
          <w:szCs w:val="24"/>
          <w:u w:val="single"/>
        </w:rPr>
        <w:t>20</w:t>
      </w:r>
      <w:r>
        <w:rPr>
          <w:rFonts w:hint="eastAsia" w:ascii="宋体" w:hAnsi="宋体" w:eastAsia="宋体" w:cs="宋体"/>
          <w:color w:val="FF0000"/>
          <w:sz w:val="24"/>
          <w:szCs w:val="24"/>
          <w:u w:val="single"/>
          <w:lang w:val="en-US" w:eastAsia="zh-CN"/>
        </w:rPr>
        <w:t>2</w:t>
      </w:r>
      <w:r>
        <w:rPr>
          <w:rFonts w:hint="eastAsia" w:ascii="宋体" w:hAnsi="宋体" w:cs="宋体"/>
          <w:color w:val="FF0000"/>
          <w:sz w:val="24"/>
          <w:szCs w:val="24"/>
          <w:u w:val="single"/>
          <w:lang w:val="en-US" w:eastAsia="zh-CN"/>
        </w:rPr>
        <w:t>6</w:t>
      </w:r>
      <w:r>
        <w:rPr>
          <w:rFonts w:hint="eastAsia" w:ascii="宋体" w:hAnsi="宋体" w:eastAsia="宋体" w:cs="宋体"/>
          <w:color w:val="FF0000"/>
          <w:sz w:val="24"/>
          <w:szCs w:val="24"/>
        </w:rPr>
        <w:t>年</w:t>
      </w:r>
      <w:r>
        <w:rPr>
          <w:rFonts w:hint="eastAsia" w:ascii="宋体" w:hAnsi="宋体" w:cs="宋体"/>
          <w:color w:val="FF0000"/>
          <w:sz w:val="24"/>
          <w:szCs w:val="24"/>
          <w:u w:val="single"/>
          <w:lang w:val="en-US" w:eastAsia="zh-CN"/>
        </w:rPr>
        <w:t>1</w:t>
      </w:r>
      <w:r>
        <w:rPr>
          <w:rFonts w:hint="eastAsia" w:ascii="宋体" w:hAnsi="宋体" w:eastAsia="宋体" w:cs="宋体"/>
          <w:color w:val="FF0000"/>
          <w:sz w:val="24"/>
          <w:szCs w:val="24"/>
        </w:rPr>
        <w:t>月</w:t>
      </w:r>
      <w:r>
        <w:rPr>
          <w:rFonts w:hint="eastAsia" w:ascii="宋体" w:hAnsi="宋体" w:cs="宋体"/>
          <w:color w:val="FF0000"/>
          <w:sz w:val="24"/>
          <w:szCs w:val="24"/>
          <w:u w:val="single" w:color="auto"/>
          <w:lang w:val="en-US" w:eastAsia="zh-CN"/>
        </w:rPr>
        <w:t xml:space="preserve">   </w:t>
      </w:r>
      <w:r>
        <w:rPr>
          <w:rFonts w:hint="eastAsia" w:ascii="宋体" w:hAnsi="宋体" w:eastAsia="宋体" w:cs="宋体"/>
          <w:color w:val="FF0000"/>
          <w:sz w:val="24"/>
          <w:szCs w:val="24"/>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31</w:t>
      </w:r>
      <w:r>
        <w:rPr>
          <w:rFonts w:hint="eastAsia" w:ascii="宋体" w:hAnsi="宋体" w:eastAsia="宋体" w:cs="宋体"/>
          <w:color w:val="auto"/>
          <w:sz w:val="24"/>
          <w:szCs w:val="24"/>
        </w:rPr>
        <w:t>日。</w:t>
      </w:r>
    </w:p>
    <w:bookmarkEnd w:id="0"/>
    <w:p w14:paraId="453EB28E">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
          <w:color w:val="auto"/>
          <w:kern w:val="2"/>
          <w:sz w:val="24"/>
          <w:szCs w:val="24"/>
          <w:u w:val="none" w:color="auto"/>
          <w:lang w:val="en-US" w:eastAsia="zh-CN" w:bidi="ar-SA"/>
        </w:rPr>
        <w:t xml:space="preserve">第三条  </w:t>
      </w:r>
      <w:r>
        <w:rPr>
          <w:rFonts w:hint="eastAsia" w:ascii="宋体" w:hAnsi="宋体" w:eastAsia="宋体" w:cs="宋体"/>
          <w:color w:val="auto"/>
          <w:sz w:val="24"/>
          <w:szCs w:val="24"/>
          <w:lang w:val="en-US" w:eastAsia="zh-CN"/>
        </w:rPr>
        <w:t>本合同咨询项目负责人由</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lang w:val="en-US" w:eastAsia="zh-CN"/>
        </w:rPr>
        <w:t>担任，负责本咨询项目的具体实施及与委托方的</w:t>
      </w:r>
      <w:r>
        <w:rPr>
          <w:rFonts w:hint="eastAsia" w:ascii="宋体" w:hAnsi="宋体" w:eastAsia="宋体" w:cs="宋体"/>
          <w:color w:val="auto"/>
          <w:sz w:val="24"/>
          <w:szCs w:val="24"/>
        </w:rPr>
        <w:t>联系等事宜。</w:t>
      </w:r>
    </w:p>
    <w:p w14:paraId="7B3B8381">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第四条   合同生效</w:t>
      </w:r>
    </w:p>
    <w:p w14:paraId="4ECB2D9D">
      <w:pPr>
        <w:spacing w:line="420" w:lineRule="atLeast"/>
        <w:ind w:firstLine="480" w:firstLineChars="200"/>
        <w:textAlignment w:val="auto"/>
        <w:rPr>
          <w:rFonts w:ascii="宋体" w:hAnsi="宋体" w:eastAsia="宋体"/>
          <w:b/>
          <w:color w:val="auto"/>
          <w:sz w:val="24"/>
          <w:szCs w:val="24"/>
        </w:rPr>
      </w:pPr>
      <w:r>
        <w:rPr>
          <w:rFonts w:hint="eastAsia" w:ascii="宋体" w:hAnsi="宋体" w:eastAsia="宋体"/>
          <w:bCs/>
          <w:color w:val="auto"/>
          <w:sz w:val="24"/>
          <w:szCs w:val="24"/>
        </w:rPr>
        <w:t>合同一经双方签字，并加盖公章即为生效。</w:t>
      </w:r>
    </w:p>
    <w:p w14:paraId="0C38DAE8">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第五条  组成本合同的有关文件</w:t>
      </w:r>
    </w:p>
    <w:p w14:paraId="61BB9655">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下列关于本服务项目的文件及有关附件是本合同不可分割的组成部分，与本合同具有同等法律效力，这些文件包括但不限于：</w:t>
      </w:r>
    </w:p>
    <w:p w14:paraId="78F4B7C3">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提供的服务报价单；</w:t>
      </w:r>
    </w:p>
    <w:p w14:paraId="71A701EE">
      <w:pPr>
        <w:spacing w:line="420" w:lineRule="atLeast"/>
        <w:ind w:firstLine="480" w:firstLineChars="200"/>
        <w:textAlignment w:val="auto"/>
        <w:rPr>
          <w:rFonts w:ascii="宋体" w:hAnsi="宋体"/>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双方商定的其他文件。</w:t>
      </w:r>
      <w:r>
        <w:rPr>
          <w:rFonts w:hint="eastAsia" w:ascii="宋体" w:hAnsi="宋体"/>
          <w:color w:val="auto"/>
          <w:sz w:val="24"/>
        </w:rPr>
        <w:t xml:space="preserve"> </w:t>
      </w:r>
    </w:p>
    <w:p w14:paraId="6757F5AB">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第六条  付款方式</w:t>
      </w:r>
    </w:p>
    <w:p w14:paraId="2B4F20AD">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宋体" w:hAnsi="宋体" w:cs="宋体" w:eastAsiaTheme="majorEastAsia"/>
          <w:snapToGrid w:val="0"/>
          <w:color w:val="000000"/>
          <w:spacing w:val="-8"/>
          <w:kern w:val="0"/>
          <w:sz w:val="24"/>
          <w:szCs w:val="24"/>
          <w:lang w:val="en-US" w:eastAsia="zh-CN" w:bidi="ar-SA"/>
        </w:rPr>
      </w:pPr>
      <w:r>
        <w:rPr>
          <w:rFonts w:hint="eastAsia" w:asciiTheme="majorEastAsia" w:hAnsiTheme="majorEastAsia" w:eastAsiaTheme="majorEastAsia" w:cstheme="minorBidi"/>
          <w:color w:val="auto"/>
          <w:sz w:val="24"/>
          <w:lang w:val="en-US" w:eastAsia="zh-CN"/>
        </w:rPr>
        <w:t>1、编制标底（含工程量清单），在接到甲方编制标底需求之日起，乙方需24小时内安排项目负责人对接，并在规定时间内递交电子版编制成果，并经甲方审核确认后，凭正规发票每半年集中或根据甲方要求按照工程项目支付。项目</w:t>
      </w:r>
      <w:r>
        <w:rPr>
          <w:rFonts w:hint="eastAsia" w:asciiTheme="majorEastAsia" w:hAnsiTheme="majorEastAsia" w:eastAsiaTheme="majorEastAsia" w:cstheme="minorBidi"/>
          <w:color w:val="auto"/>
          <w:sz w:val="24"/>
          <w:lang w:val="en-US" w:eastAsia="en-US"/>
        </w:rPr>
        <w:t>拖延十天扣应收审核费的20%;延误时间超过15天该项目的审核费用则全部扣除，由委托方原因造成的除外。</w:t>
      </w:r>
      <w:r>
        <w:rPr>
          <w:rFonts w:hint="eastAsia" w:asciiTheme="majorEastAsia" w:hAnsiTheme="majorEastAsia" w:eastAsiaTheme="majorEastAsia" w:cstheme="minorBidi"/>
          <w:color w:val="auto"/>
          <w:sz w:val="24"/>
          <w:lang w:val="en-US" w:eastAsia="zh-CN"/>
        </w:rPr>
        <w:t>甲方审计处</w:t>
      </w:r>
      <w:r>
        <w:rPr>
          <w:rFonts w:hint="eastAsia" w:asciiTheme="majorEastAsia" w:hAnsiTheme="majorEastAsia" w:eastAsiaTheme="majorEastAsia" w:cstheme="minorBidi"/>
          <w:color w:val="auto"/>
          <w:sz w:val="24"/>
          <w:lang w:val="en-US" w:eastAsia="en-US"/>
        </w:rPr>
        <w:t>对</w:t>
      </w:r>
      <w:r>
        <w:rPr>
          <w:rFonts w:hint="eastAsia" w:asciiTheme="majorEastAsia" w:hAnsiTheme="majorEastAsia" w:eastAsiaTheme="majorEastAsia" w:cstheme="minorBidi"/>
          <w:color w:val="auto"/>
          <w:sz w:val="24"/>
          <w:lang w:val="en-US" w:eastAsia="zh-CN"/>
        </w:rPr>
        <w:t>项目审核</w:t>
      </w:r>
      <w:r>
        <w:rPr>
          <w:rFonts w:hint="eastAsia" w:asciiTheme="majorEastAsia" w:hAnsiTheme="majorEastAsia" w:eastAsiaTheme="majorEastAsia" w:cstheme="minorBidi"/>
          <w:color w:val="auto"/>
          <w:sz w:val="24"/>
          <w:lang w:val="en-US" w:eastAsia="en-US"/>
        </w:rPr>
        <w:t>时，</w:t>
      </w:r>
      <w:r>
        <w:rPr>
          <w:rFonts w:hint="eastAsia" w:asciiTheme="majorEastAsia" w:hAnsiTheme="majorEastAsia" w:eastAsiaTheme="majorEastAsia" w:cstheme="minorBidi"/>
          <w:color w:val="auto"/>
          <w:sz w:val="24"/>
          <w:lang w:val="en-US" w:eastAsia="zh-CN"/>
        </w:rPr>
        <w:t>乙方</w:t>
      </w:r>
      <w:r>
        <w:rPr>
          <w:rFonts w:hint="eastAsia" w:asciiTheme="majorEastAsia" w:hAnsiTheme="majorEastAsia" w:eastAsiaTheme="majorEastAsia" w:cstheme="minorBidi"/>
          <w:color w:val="auto"/>
          <w:sz w:val="24"/>
          <w:lang w:val="en-US" w:eastAsia="en-US"/>
        </w:rPr>
        <w:t>须无条件配合</w:t>
      </w:r>
      <w:r>
        <w:rPr>
          <w:rFonts w:hint="eastAsia" w:asciiTheme="majorEastAsia" w:hAnsiTheme="majorEastAsia" w:eastAsiaTheme="majorEastAsia" w:cstheme="minorBidi"/>
          <w:color w:val="auto"/>
          <w:sz w:val="24"/>
          <w:lang w:val="en-US" w:eastAsia="zh-CN"/>
        </w:rPr>
        <w:t>。</w:t>
      </w:r>
    </w:p>
    <w:p w14:paraId="0316C8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w:t>
      </w:r>
      <w:r>
        <w:rPr>
          <w:rFonts w:hint="eastAsia" w:asciiTheme="majorEastAsia" w:hAnsiTheme="majorEastAsia" w:eastAsiaTheme="majorEastAsia" w:cstheme="minorBidi"/>
          <w:color w:val="auto"/>
          <w:sz w:val="24"/>
          <w:lang w:val="en-US" w:eastAsia="zh-CN"/>
        </w:rPr>
        <w:t>结算审计：</w:t>
      </w:r>
      <w:r>
        <w:rPr>
          <w:rFonts w:hint="eastAsia" w:asciiTheme="majorEastAsia" w:hAnsiTheme="majorEastAsia" w:eastAsiaTheme="majorEastAsia" w:cstheme="minorBidi"/>
          <w:color w:val="auto"/>
          <w:sz w:val="24"/>
          <w:lang w:val="en-US" w:eastAsia="en-US"/>
        </w:rPr>
        <w:t>工程结算审计</w:t>
      </w:r>
      <w:r>
        <w:rPr>
          <w:rFonts w:hint="eastAsia" w:asciiTheme="majorEastAsia" w:hAnsiTheme="majorEastAsia" w:eastAsiaTheme="majorEastAsia" w:cstheme="minorBidi"/>
          <w:color w:val="auto"/>
          <w:sz w:val="24"/>
          <w:lang w:val="en-US" w:eastAsia="zh-CN"/>
        </w:rPr>
        <w:t>每年会由甲方审计处进行抽查复核，</w:t>
      </w:r>
      <w:r>
        <w:rPr>
          <w:rFonts w:hint="eastAsia" w:ascii="宋体" w:hAnsi="宋体" w:eastAsia="宋体" w:cs="宋体"/>
          <w:snapToGrid w:val="0"/>
          <w:color w:val="000000"/>
          <w:spacing w:val="-8"/>
          <w:kern w:val="0"/>
          <w:sz w:val="24"/>
          <w:szCs w:val="24"/>
          <w:highlight w:val="none"/>
          <w:lang w:val="en-US" w:eastAsia="en-US" w:bidi="ar-SA"/>
        </w:rPr>
        <w:t>因</w:t>
      </w:r>
      <w:r>
        <w:rPr>
          <w:rFonts w:hint="eastAsia" w:ascii="宋体" w:hAnsi="宋体" w:eastAsia="宋体" w:cs="宋体"/>
          <w:snapToGrid w:val="0"/>
          <w:color w:val="000000"/>
          <w:spacing w:val="-8"/>
          <w:kern w:val="0"/>
          <w:sz w:val="24"/>
          <w:szCs w:val="24"/>
          <w:highlight w:val="none"/>
          <w:lang w:val="en-US" w:eastAsia="zh-CN" w:bidi="ar-SA"/>
        </w:rPr>
        <w:t>乙方</w:t>
      </w:r>
      <w:r>
        <w:rPr>
          <w:rFonts w:hint="eastAsia" w:ascii="宋体" w:hAnsi="宋体" w:eastAsia="宋体" w:cs="宋体"/>
          <w:snapToGrid w:val="0"/>
          <w:color w:val="000000"/>
          <w:spacing w:val="-8"/>
          <w:kern w:val="0"/>
          <w:sz w:val="24"/>
          <w:szCs w:val="24"/>
          <w:highlight w:val="none"/>
          <w:lang w:val="en-US" w:eastAsia="en-US" w:bidi="ar-SA"/>
        </w:rPr>
        <w:t>工作不细致、疏忽大意等原因导致的审核误差率在±3%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不含3%</w:t>
      </w:r>
      <w:r>
        <w:rPr>
          <w:rFonts w:hint="eastAsia" w:ascii="宋体" w:hAnsi="宋体" w:cs="宋体"/>
          <w:color w:val="auto"/>
          <w:sz w:val="24"/>
          <w:highlight w:val="none"/>
          <w:lang w:val="en-US" w:eastAsia="zh-CN"/>
        </w:rPr>
        <w:t>）</w:t>
      </w:r>
      <w:r>
        <w:rPr>
          <w:rFonts w:hint="eastAsia" w:ascii="宋体" w:hAnsi="宋体" w:eastAsia="宋体" w:cs="宋体"/>
          <w:snapToGrid w:val="0"/>
          <w:color w:val="000000"/>
          <w:spacing w:val="-8"/>
          <w:kern w:val="0"/>
          <w:sz w:val="24"/>
          <w:szCs w:val="24"/>
          <w:highlight w:val="none"/>
          <w:lang w:val="en-US" w:eastAsia="en-US" w:bidi="ar-SA"/>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snapToGrid w:val="0"/>
          <w:color w:val="000000"/>
          <w:spacing w:val="-8"/>
          <w:kern w:val="0"/>
          <w:sz w:val="24"/>
          <w:szCs w:val="24"/>
          <w:highlight w:val="none"/>
          <w:lang w:val="en-US" w:eastAsia="en-US" w:bidi="ar-SA"/>
        </w:rPr>
        <w:t>的，</w:t>
      </w:r>
      <w:r>
        <w:rPr>
          <w:rFonts w:hint="eastAsia" w:ascii="宋体" w:hAnsi="宋体" w:eastAsia="宋体" w:cs="宋体"/>
          <w:snapToGrid w:val="0"/>
          <w:color w:val="000000"/>
          <w:spacing w:val="-8"/>
          <w:kern w:val="0"/>
          <w:sz w:val="24"/>
          <w:szCs w:val="24"/>
          <w:highlight w:val="none"/>
          <w:lang w:val="en-US" w:eastAsia="zh-CN" w:bidi="ar-SA"/>
        </w:rPr>
        <w:t>甲方</w:t>
      </w:r>
      <w:r>
        <w:rPr>
          <w:rFonts w:hint="eastAsia" w:ascii="宋体" w:hAnsi="宋体" w:eastAsia="宋体" w:cs="宋体"/>
          <w:snapToGrid w:val="0"/>
          <w:color w:val="000000"/>
          <w:spacing w:val="-8"/>
          <w:kern w:val="0"/>
          <w:sz w:val="24"/>
          <w:szCs w:val="24"/>
          <w:highlight w:val="none"/>
          <w:lang w:val="en-US" w:eastAsia="en-US" w:bidi="ar-SA"/>
        </w:rPr>
        <w:t>有权扣除审核费用的20%；审核误差率超过±5%的，</w:t>
      </w:r>
      <w:r>
        <w:rPr>
          <w:rFonts w:hint="eastAsia" w:ascii="宋体" w:hAnsi="宋体" w:eastAsia="宋体" w:cs="宋体"/>
          <w:snapToGrid w:val="0"/>
          <w:color w:val="000000"/>
          <w:spacing w:val="-8"/>
          <w:kern w:val="0"/>
          <w:sz w:val="24"/>
          <w:szCs w:val="24"/>
          <w:highlight w:val="none"/>
          <w:lang w:val="en-US" w:eastAsia="zh-CN" w:bidi="ar-SA"/>
        </w:rPr>
        <w:t>甲方</w:t>
      </w:r>
      <w:r>
        <w:rPr>
          <w:rFonts w:hint="eastAsia" w:ascii="宋体" w:hAnsi="宋体" w:eastAsia="宋体" w:cs="宋体"/>
          <w:snapToGrid w:val="0"/>
          <w:color w:val="000000"/>
          <w:spacing w:val="-8"/>
          <w:kern w:val="0"/>
          <w:sz w:val="24"/>
          <w:szCs w:val="24"/>
          <w:highlight w:val="none"/>
          <w:lang w:val="en-US" w:eastAsia="en-US" w:bidi="ar-SA"/>
        </w:rPr>
        <w:t>有权不予支付费用</w:t>
      </w:r>
      <w:r>
        <w:rPr>
          <w:rFonts w:hint="eastAsia" w:ascii="宋体" w:hAnsi="宋体" w:cs="宋体"/>
          <w:snapToGrid w:val="0"/>
          <w:color w:val="000000"/>
          <w:spacing w:val="-8"/>
          <w:kern w:val="0"/>
          <w:sz w:val="24"/>
          <w:szCs w:val="24"/>
          <w:highlight w:val="none"/>
          <w:lang w:val="en-US" w:eastAsia="zh-CN" w:bidi="ar-SA"/>
        </w:rPr>
        <w:t>。甲方</w:t>
      </w:r>
      <w:r>
        <w:rPr>
          <w:rFonts w:hint="eastAsia" w:asciiTheme="majorEastAsia" w:hAnsiTheme="majorEastAsia" w:eastAsiaTheme="majorEastAsia" w:cstheme="minorBidi"/>
          <w:color w:val="auto"/>
          <w:sz w:val="24"/>
          <w:highlight w:val="none"/>
          <w:lang w:val="en-US" w:eastAsia="zh-CN"/>
        </w:rPr>
        <w:t>视项目</w:t>
      </w:r>
      <w:r>
        <w:rPr>
          <w:rFonts w:hint="eastAsia" w:ascii="宋体" w:hAnsi="宋体" w:cs="宋体"/>
          <w:snapToGrid w:val="0"/>
          <w:color w:val="000000"/>
          <w:spacing w:val="-8"/>
          <w:kern w:val="0"/>
          <w:sz w:val="24"/>
          <w:szCs w:val="24"/>
          <w:highlight w:val="none"/>
          <w:lang w:val="en-US" w:eastAsia="zh-CN" w:bidi="ar-SA"/>
        </w:rPr>
        <w:t>审核</w:t>
      </w:r>
      <w:r>
        <w:rPr>
          <w:rFonts w:hint="eastAsia" w:asciiTheme="majorEastAsia" w:hAnsiTheme="majorEastAsia" w:eastAsiaTheme="majorEastAsia" w:cstheme="minorBidi"/>
          <w:color w:val="auto"/>
          <w:sz w:val="24"/>
          <w:highlight w:val="none"/>
          <w:lang w:val="en-US" w:eastAsia="zh-CN"/>
        </w:rPr>
        <w:t>情况，凭正规发票每半年集中或根据甲方要求按照工程项目支付。</w:t>
      </w:r>
    </w:p>
    <w:p w14:paraId="05967F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cs="宋体"/>
          <w:snapToGrid w:val="0"/>
          <w:color w:val="000000"/>
          <w:spacing w:val="-2"/>
          <w:kern w:val="0"/>
          <w:sz w:val="24"/>
          <w:szCs w:val="24"/>
          <w:lang w:val="en-US" w:eastAsia="zh-CN" w:bidi="ar-SA"/>
        </w:rPr>
        <w:t>3、认质认价：甲方根据项目情况进行材料认质认价，由已方进行调研后完成认质认价工作并提供纸质书面成果，</w:t>
      </w:r>
      <w:r>
        <w:rPr>
          <w:rFonts w:hint="eastAsia" w:asciiTheme="majorEastAsia" w:hAnsiTheme="majorEastAsia" w:eastAsiaTheme="majorEastAsia" w:cstheme="minorBidi"/>
          <w:color w:val="auto"/>
          <w:sz w:val="24"/>
          <w:lang w:val="en-US" w:eastAsia="zh-CN"/>
        </w:rPr>
        <w:t>视项目情况，凭正规发票每半年集中或根据甲方要求按照工程项目支付。</w:t>
      </w:r>
    </w:p>
    <w:p w14:paraId="67874407">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条  违约责任</w:t>
      </w:r>
    </w:p>
    <w:p w14:paraId="461FC3E9">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1、若</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未按要求提供咨询服务，行为超过2次，</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 xml:space="preserve">有权取消其入库资格； </w:t>
      </w:r>
    </w:p>
    <w:p w14:paraId="753741AA">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如不能提供</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要求完成的服务项目或不能履行招标文件上的服务承诺，</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有权终止合同。</w:t>
      </w:r>
    </w:p>
    <w:p w14:paraId="5F4D5580">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3、</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必须廉洁自律，遵守执业道德，保守机密，在提交审核初稿之前不得与施工方接触。若发现</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违反本条规定，则：</w:t>
      </w:r>
      <w:r>
        <w:rPr>
          <w:rFonts w:hint="eastAsia" w:ascii="宋体" w:hAnsi="宋体" w:eastAsia="宋体" w:cs="Times New Roman"/>
          <w:bCs/>
          <w:color w:val="auto"/>
          <w:sz w:val="24"/>
          <w:szCs w:val="24"/>
        </w:rPr>
        <w:fldChar w:fldCharType="begin"/>
      </w:r>
      <w:r>
        <w:rPr>
          <w:rFonts w:hint="eastAsia" w:ascii="宋体" w:hAnsi="宋体" w:eastAsia="宋体" w:cs="Times New Roman"/>
          <w:bCs/>
          <w:color w:val="auto"/>
          <w:sz w:val="24"/>
          <w:szCs w:val="24"/>
        </w:rPr>
        <w:instrText xml:space="preserve"> = 1 \* GB3 </w:instrText>
      </w:r>
      <w:r>
        <w:rPr>
          <w:rFonts w:hint="eastAsia" w:ascii="宋体" w:hAnsi="宋体" w:eastAsia="宋体" w:cs="Times New Roman"/>
          <w:bCs/>
          <w:color w:val="auto"/>
          <w:sz w:val="24"/>
          <w:szCs w:val="24"/>
        </w:rPr>
        <w:fldChar w:fldCharType="separate"/>
      </w:r>
      <w:r>
        <w:rPr>
          <w:rFonts w:hint="eastAsia" w:ascii="宋体" w:hAnsi="宋体" w:eastAsia="宋体" w:cs="Times New Roman"/>
          <w:bCs/>
          <w:color w:val="auto"/>
          <w:sz w:val="24"/>
          <w:szCs w:val="24"/>
        </w:rPr>
        <w:t>①</w:t>
      </w:r>
      <w:r>
        <w:rPr>
          <w:rFonts w:hint="eastAsia" w:ascii="宋体" w:hAnsi="宋体" w:eastAsia="宋体" w:cs="Times New Roman"/>
          <w:bCs/>
          <w:color w:val="auto"/>
          <w:sz w:val="24"/>
          <w:szCs w:val="24"/>
        </w:rPr>
        <w:fldChar w:fldCharType="end"/>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w:t>
      </w:r>
      <w:r>
        <w:rPr>
          <w:rFonts w:hint="eastAsia" w:ascii="宋体" w:hAnsi="宋体" w:cs="Times New Roman"/>
          <w:bCs/>
          <w:color w:val="auto"/>
          <w:sz w:val="24"/>
          <w:szCs w:val="24"/>
          <w:lang w:eastAsia="zh-CN"/>
        </w:rPr>
        <w:t>终止</w:t>
      </w:r>
      <w:r>
        <w:rPr>
          <w:rFonts w:hint="eastAsia" w:ascii="宋体" w:hAnsi="宋体" w:eastAsia="宋体" w:cs="Times New Roman"/>
          <w:bCs/>
          <w:color w:val="auto"/>
          <w:sz w:val="24"/>
          <w:szCs w:val="24"/>
        </w:rPr>
        <w:t>本合同；</w:t>
      </w:r>
      <w:r>
        <w:rPr>
          <w:rFonts w:hint="eastAsia" w:ascii="宋体" w:hAnsi="宋体" w:eastAsia="宋体" w:cs="Times New Roman"/>
          <w:bCs/>
          <w:color w:val="auto"/>
          <w:sz w:val="24"/>
          <w:szCs w:val="24"/>
        </w:rPr>
        <w:fldChar w:fldCharType="begin"/>
      </w:r>
      <w:r>
        <w:rPr>
          <w:rFonts w:hint="eastAsia" w:ascii="宋体" w:hAnsi="宋体" w:eastAsia="宋体" w:cs="Times New Roman"/>
          <w:bCs/>
          <w:color w:val="auto"/>
          <w:sz w:val="24"/>
          <w:szCs w:val="24"/>
        </w:rPr>
        <w:instrText xml:space="preserve"> = 2 \* GB3 </w:instrText>
      </w:r>
      <w:r>
        <w:rPr>
          <w:rFonts w:hint="eastAsia" w:ascii="宋体" w:hAnsi="宋体" w:eastAsia="宋体" w:cs="Times New Roman"/>
          <w:bCs/>
          <w:color w:val="auto"/>
          <w:sz w:val="24"/>
          <w:szCs w:val="24"/>
        </w:rPr>
        <w:fldChar w:fldCharType="separate"/>
      </w:r>
      <w:r>
        <w:rPr>
          <w:rFonts w:hint="eastAsia" w:ascii="宋体" w:hAnsi="宋体" w:eastAsia="宋体" w:cs="Times New Roman"/>
          <w:bCs/>
          <w:color w:val="auto"/>
          <w:sz w:val="24"/>
          <w:szCs w:val="24"/>
        </w:rPr>
        <w:t>②</w:t>
      </w:r>
      <w:r>
        <w:rPr>
          <w:rFonts w:hint="eastAsia" w:ascii="宋体" w:hAnsi="宋体" w:eastAsia="宋体" w:cs="Times New Roman"/>
          <w:bCs/>
          <w:color w:val="auto"/>
          <w:sz w:val="24"/>
          <w:szCs w:val="24"/>
        </w:rPr>
        <w:fldChar w:fldCharType="end"/>
      </w:r>
      <w:r>
        <w:rPr>
          <w:rFonts w:hint="eastAsia" w:ascii="宋体" w:hAnsi="宋体" w:eastAsia="宋体" w:cs="Times New Roman"/>
          <w:bCs/>
          <w:color w:val="auto"/>
          <w:sz w:val="24"/>
          <w:szCs w:val="24"/>
        </w:rPr>
        <w:t>若</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的违规行为在客观上造成了</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的经济损失，则</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有权依法追究</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的经济责任。</w:t>
      </w:r>
    </w:p>
    <w:p w14:paraId="163F8B77">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条  合同的变更和终止</w:t>
      </w:r>
    </w:p>
    <w:p w14:paraId="4903A30F">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1、由于</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或第三人的原因使</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工作受到阻碍、延误或重复以致增加了工作量或延长了约定的咨询时间，则</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应当将此情况与可能产生的影响及时书面通知</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。由此增加的工作量视为额外服务，完成建设工程造价咨询工作的时间应当相应延长，并得到额外的酬金。</w:t>
      </w:r>
    </w:p>
    <w:p w14:paraId="33278FB5">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2、当事人一方要求变更或解除合同时，则应当在7个工作日前通知对方；因变更或解除合同使一方遭受损失的，应由责任方负责赔偿。</w:t>
      </w:r>
    </w:p>
    <w:p w14:paraId="74FC94D0">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3、变更或解除合同的通知或协议应当采取书面形式，新的协议未达成之前，原合同仍然有效。</w:t>
      </w:r>
    </w:p>
    <w:p w14:paraId="71E90F2A">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条  争议的解决</w:t>
      </w:r>
    </w:p>
    <w:p w14:paraId="35696A2C">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双方应严格遵守本合同的有关条款，此合同未尽事项，应由</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双方友好协商解决。</w:t>
      </w:r>
    </w:p>
    <w:p w14:paraId="3C40DCF9">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2、因履行本合同引起的或与本合同有关的争执，</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双方应首先通过友好协商解决，如</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要求履行，</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须继续履行。因履行本合同发生的争执由合同履行地人民法院管辖。</w:t>
      </w:r>
    </w:p>
    <w:p w14:paraId="04B44349">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第十条  诚实信用</w:t>
      </w:r>
    </w:p>
    <w:p w14:paraId="41E09321">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应当诚实信用，严格按照招标文件要求和投标承诺履行合同，不向</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进行商业贿赂或者提供不正当的利益。</w:t>
      </w:r>
    </w:p>
    <w:p w14:paraId="34897A0A">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条  合同生效及其他</w:t>
      </w:r>
    </w:p>
    <w:p w14:paraId="4E42B2A4">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 xml:space="preserve">本合同共 </w:t>
      </w:r>
      <w:r>
        <w:rPr>
          <w:rFonts w:hint="eastAsia" w:ascii="宋体" w:hAnsi="宋体" w:cs="Times New Roman"/>
          <w:bCs/>
          <w:color w:val="auto"/>
          <w:sz w:val="24"/>
          <w:szCs w:val="24"/>
          <w:lang w:val="en-US" w:eastAsia="zh-CN"/>
        </w:rPr>
        <w:t>3</w:t>
      </w:r>
      <w:r>
        <w:rPr>
          <w:rFonts w:hint="eastAsia" w:ascii="宋体" w:hAnsi="宋体" w:eastAsia="宋体" w:cs="Times New Roman"/>
          <w:bCs/>
          <w:color w:val="auto"/>
          <w:sz w:val="24"/>
          <w:szCs w:val="24"/>
        </w:rPr>
        <w:t>页，合同一经双方签字，并加盖公章即为生效。合同文本一式伍份，</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执肆份、</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执壹份。</w:t>
      </w:r>
    </w:p>
    <w:tbl>
      <w:tblPr>
        <w:tblStyle w:val="4"/>
        <w:tblpPr w:leftFromText="180" w:rightFromText="180" w:vertAnchor="text" w:horzAnchor="page" w:tblpX="982" w:tblpY="167"/>
        <w:tblOverlap w:val="never"/>
        <w:tblW w:w="0" w:type="auto"/>
        <w:tblInd w:w="0" w:type="dxa"/>
        <w:shd w:val="clear" w:color="auto" w:fill="FFFFFF"/>
        <w:tblLayout w:type="fixed"/>
        <w:tblCellMar>
          <w:top w:w="0" w:type="dxa"/>
          <w:left w:w="0" w:type="dxa"/>
          <w:bottom w:w="0" w:type="dxa"/>
          <w:right w:w="0" w:type="dxa"/>
        </w:tblCellMar>
      </w:tblPr>
      <w:tblGrid>
        <w:gridCol w:w="5110"/>
        <w:gridCol w:w="5180"/>
      </w:tblGrid>
      <w:tr w14:paraId="4F668B99">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02A65C15">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甲方</w:t>
            </w:r>
            <w:r>
              <w:rPr>
                <w:rFonts w:hint="eastAsia" w:ascii="宋体" w:hAnsi="宋体" w:eastAsia="宋体" w:cs="宋体"/>
                <w:bCs/>
                <w:color w:val="auto"/>
                <w:sz w:val="24"/>
                <w:szCs w:val="24"/>
              </w:rPr>
              <w:t>（公章）：徐州工业职业技术学院</w:t>
            </w:r>
          </w:p>
        </w:tc>
        <w:tc>
          <w:tcPr>
            <w:tcW w:w="5180" w:type="dxa"/>
            <w:shd w:val="clear" w:color="auto" w:fill="FFFFFF"/>
            <w:noWrap w:val="0"/>
            <w:tcMar>
              <w:top w:w="0" w:type="dxa"/>
              <w:left w:w="108" w:type="dxa"/>
              <w:bottom w:w="0" w:type="dxa"/>
              <w:right w:w="108" w:type="dxa"/>
            </w:tcMar>
            <w:vAlign w:val="top"/>
          </w:tcPr>
          <w:p w14:paraId="51D49B8A">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乙方</w:t>
            </w:r>
            <w:r>
              <w:rPr>
                <w:rFonts w:hint="eastAsia" w:ascii="宋体" w:hAnsi="宋体" w:eastAsia="宋体" w:cs="宋体"/>
                <w:bCs/>
                <w:color w:val="auto"/>
                <w:sz w:val="24"/>
                <w:szCs w:val="24"/>
              </w:rPr>
              <w:t>（公章）：</w:t>
            </w:r>
            <w:r>
              <w:rPr>
                <w:rFonts w:hint="eastAsia" w:ascii="宋体" w:hAnsi="宋体" w:eastAsia="宋体" w:cs="宋体"/>
                <w:color w:val="auto"/>
                <w:sz w:val="24"/>
                <w:szCs w:val="24"/>
              </w:rPr>
              <w:t xml:space="preserve"> </w:t>
            </w:r>
          </w:p>
        </w:tc>
      </w:tr>
      <w:tr w14:paraId="46C87C53">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1ADCA0AA">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法定或授权代表人（签字）：</w:t>
            </w:r>
          </w:p>
          <w:p w14:paraId="09843C72">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 </w:t>
            </w:r>
          </w:p>
        </w:tc>
        <w:tc>
          <w:tcPr>
            <w:tcW w:w="5180" w:type="dxa"/>
            <w:shd w:val="clear" w:color="auto" w:fill="FFFFFF"/>
            <w:noWrap w:val="0"/>
            <w:tcMar>
              <w:top w:w="0" w:type="dxa"/>
              <w:left w:w="108" w:type="dxa"/>
              <w:bottom w:w="0" w:type="dxa"/>
              <w:right w:w="108" w:type="dxa"/>
            </w:tcMar>
            <w:vAlign w:val="top"/>
          </w:tcPr>
          <w:p w14:paraId="467A1DFE">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法定或授权代表人（签字）：</w:t>
            </w:r>
          </w:p>
          <w:p w14:paraId="15FB1EDD">
            <w:pPr>
              <w:spacing w:line="400" w:lineRule="atLeast"/>
              <w:jc w:val="left"/>
              <w:textAlignment w:val="auto"/>
              <w:rPr>
                <w:rFonts w:hint="eastAsia" w:ascii="宋体" w:hAnsi="宋体" w:eastAsia="宋体" w:cs="宋体"/>
                <w:color w:val="auto"/>
                <w:sz w:val="24"/>
                <w:szCs w:val="24"/>
              </w:rPr>
            </w:pPr>
          </w:p>
        </w:tc>
      </w:tr>
      <w:tr w14:paraId="10F7656B">
        <w:tblPrEx>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38FD497A">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14EC2471">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银行账号：</w:t>
            </w:r>
          </w:p>
        </w:tc>
      </w:tr>
      <w:tr w14:paraId="15DD9ACD">
        <w:tblPrEx>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05819353">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联系电话：</w:t>
            </w:r>
          </w:p>
        </w:tc>
        <w:tc>
          <w:tcPr>
            <w:tcW w:w="5180" w:type="dxa"/>
            <w:shd w:val="clear" w:color="auto" w:fill="FFFFFF"/>
            <w:noWrap w:val="0"/>
            <w:tcMar>
              <w:top w:w="0" w:type="dxa"/>
              <w:left w:w="108" w:type="dxa"/>
              <w:bottom w:w="0" w:type="dxa"/>
              <w:right w:w="108" w:type="dxa"/>
            </w:tcMar>
            <w:vAlign w:val="top"/>
          </w:tcPr>
          <w:p w14:paraId="552AFDA4">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开户行地址：</w:t>
            </w:r>
          </w:p>
        </w:tc>
      </w:tr>
      <w:tr w14:paraId="66EAD1AE">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6E1D6E75">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地址：</w:t>
            </w:r>
          </w:p>
        </w:tc>
        <w:tc>
          <w:tcPr>
            <w:tcW w:w="5180" w:type="dxa"/>
            <w:shd w:val="clear" w:color="auto" w:fill="FFFFFF"/>
            <w:noWrap w:val="0"/>
            <w:tcMar>
              <w:top w:w="0" w:type="dxa"/>
              <w:left w:w="108" w:type="dxa"/>
              <w:bottom w:w="0" w:type="dxa"/>
              <w:right w:w="108" w:type="dxa"/>
            </w:tcMar>
            <w:vAlign w:val="top"/>
          </w:tcPr>
          <w:p w14:paraId="51D82446">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行号：</w:t>
            </w:r>
          </w:p>
        </w:tc>
      </w:tr>
      <w:tr w14:paraId="31FA6A5B">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55D0A624">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0BDEAEF3">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r>
      <w:tr w14:paraId="1A67D331">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708DB515">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1AA59F8E">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地址：</w:t>
            </w:r>
          </w:p>
        </w:tc>
      </w:tr>
    </w:tbl>
    <w:p w14:paraId="6E2DD4AB">
      <w:pPr>
        <w:spacing w:line="420" w:lineRule="atLeast"/>
        <w:ind w:firstLine="480" w:firstLineChars="200"/>
        <w:textAlignment w:val="auto"/>
        <w:rPr>
          <w:rFonts w:hint="eastAsia" w:ascii="宋体" w:hAnsi="宋体" w:eastAsia="宋体" w:cs="Times New Roman"/>
          <w:bCs/>
          <w:color w:val="auto"/>
          <w:sz w:val="24"/>
          <w:szCs w:val="24"/>
        </w:rPr>
      </w:pPr>
    </w:p>
    <w:p w14:paraId="7558C7A7">
      <w:pPr>
        <w:spacing w:line="540" w:lineRule="exact"/>
        <w:rPr>
          <w:rFonts w:hint="eastAsia" w:ascii="宋体" w:hAnsi="宋体" w:eastAsia="宋体" w:cs="宋体"/>
          <w:b/>
          <w:color w:val="auto"/>
          <w:sz w:val="24"/>
          <w:szCs w:val="24"/>
        </w:rPr>
      </w:pPr>
      <w:r>
        <w:rPr>
          <w:rFonts w:hint="eastAsia" w:ascii="宋体" w:hAnsi="宋体" w:eastAsia="宋体" w:cs="宋体"/>
          <w:bCs/>
          <w:color w:val="auto"/>
          <w:sz w:val="24"/>
          <w:szCs w:val="22"/>
        </w:rPr>
        <w:t xml:space="preserve">  1、完</w:t>
      </w:r>
      <w:r>
        <w:rPr>
          <w:rFonts w:hint="eastAsia" w:ascii="宋体" w:hAnsi="宋体" w:eastAsia="宋体" w:cs="宋体"/>
          <w:bCs/>
          <w:color w:val="auto"/>
          <w:sz w:val="24"/>
        </w:rPr>
        <w:t>成造价咨询服务所需的时间，由</w:t>
      </w:r>
      <w:r>
        <w:rPr>
          <w:rFonts w:hint="eastAsia" w:ascii="宋体" w:hAnsi="宋体" w:eastAsia="宋体" w:cs="宋体"/>
          <w:bCs/>
          <w:color w:val="auto"/>
          <w:sz w:val="24"/>
          <w:lang w:eastAsia="zh-CN"/>
        </w:rPr>
        <w:t>甲方</w:t>
      </w:r>
      <w:r>
        <w:rPr>
          <w:rFonts w:hint="eastAsia" w:ascii="宋体" w:hAnsi="宋体" w:eastAsia="宋体" w:cs="宋体"/>
          <w:bCs/>
          <w:color w:val="auto"/>
          <w:sz w:val="24"/>
        </w:rPr>
        <w:t>与</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根据项目的规模及复杂程度商定，并在项目委托书中注明。</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应在约定的时间内完成咨询服务。如有特殊情况需要延期的，</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需书面提出并经</w:t>
      </w:r>
      <w:r>
        <w:rPr>
          <w:rFonts w:hint="eastAsia" w:ascii="宋体" w:hAnsi="宋体" w:eastAsia="宋体" w:cs="宋体"/>
          <w:bCs/>
          <w:color w:val="auto"/>
          <w:sz w:val="24"/>
          <w:lang w:eastAsia="zh-CN"/>
        </w:rPr>
        <w:t>甲方</w:t>
      </w:r>
      <w:r>
        <w:rPr>
          <w:rFonts w:hint="eastAsia" w:ascii="宋体" w:hAnsi="宋体" w:eastAsia="宋体" w:cs="宋体"/>
          <w:bCs/>
          <w:color w:val="auto"/>
          <w:sz w:val="24"/>
        </w:rPr>
        <w:t>同意。</w:t>
      </w:r>
    </w:p>
    <w:p w14:paraId="62DFDFD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乙方</w:t>
      </w:r>
      <w:r>
        <w:rPr>
          <w:rFonts w:hint="eastAsia" w:ascii="宋体" w:hAnsi="宋体" w:eastAsia="宋体" w:cs="宋体"/>
          <w:color w:val="auto"/>
          <w:sz w:val="24"/>
        </w:rPr>
        <w:t>在履行合同期间更换审核人员必须书面报</w:t>
      </w:r>
      <w:r>
        <w:rPr>
          <w:rFonts w:hint="eastAsia" w:ascii="宋体" w:hAnsi="宋体" w:eastAsia="宋体" w:cs="宋体"/>
          <w:color w:val="auto"/>
          <w:sz w:val="24"/>
          <w:lang w:eastAsia="zh-CN"/>
        </w:rPr>
        <w:t>甲方</w:t>
      </w:r>
      <w:r>
        <w:rPr>
          <w:rFonts w:hint="eastAsia" w:ascii="宋体" w:hAnsi="宋体" w:eastAsia="宋体" w:cs="宋体"/>
          <w:color w:val="auto"/>
          <w:sz w:val="24"/>
        </w:rPr>
        <w:t>同意，否则，</w:t>
      </w:r>
      <w:r>
        <w:rPr>
          <w:rFonts w:hint="eastAsia" w:ascii="宋体" w:hAnsi="宋体" w:eastAsia="宋体" w:cs="宋体"/>
          <w:color w:val="auto"/>
          <w:sz w:val="24"/>
          <w:lang w:eastAsia="zh-CN"/>
        </w:rPr>
        <w:t>甲方</w:t>
      </w:r>
      <w:r>
        <w:rPr>
          <w:rFonts w:hint="eastAsia" w:ascii="宋体" w:hAnsi="宋体" w:eastAsia="宋体" w:cs="宋体"/>
          <w:color w:val="auto"/>
          <w:sz w:val="24"/>
        </w:rPr>
        <w:t>有权终止合同。</w:t>
      </w:r>
    </w:p>
    <w:p w14:paraId="49C410FB">
      <w:pPr>
        <w:spacing w:line="540" w:lineRule="exact"/>
        <w:ind w:firstLine="482"/>
        <w:rPr>
          <w:rFonts w:hint="eastAsia" w:ascii="宋体" w:hAnsi="宋体" w:eastAsia="宋体" w:cs="宋体"/>
          <w:bCs/>
          <w:color w:val="auto"/>
          <w:sz w:val="24"/>
        </w:rPr>
      </w:pPr>
      <w:r>
        <w:rPr>
          <w:rFonts w:hint="eastAsia" w:ascii="宋体" w:hAnsi="宋体" w:eastAsia="宋体" w:cs="宋体"/>
          <w:bCs/>
          <w:color w:val="auto"/>
          <w:sz w:val="24"/>
        </w:rPr>
        <w:t>3、</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应严格按照现行相关法规及本工程施工合同的规定，对现场签证进行严格审核。</w:t>
      </w:r>
    </w:p>
    <w:p w14:paraId="000FAF9B">
      <w:pPr>
        <w:numPr>
          <w:ilvl w:val="0"/>
          <w:numId w:val="4"/>
        </w:numPr>
        <w:spacing w:line="44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lang w:eastAsia="zh-CN"/>
        </w:rPr>
        <w:t>乙方</w:t>
      </w:r>
      <w:r>
        <w:rPr>
          <w:rFonts w:hint="eastAsia" w:ascii="宋体" w:hAnsi="宋体" w:eastAsia="宋体" w:cs="宋体"/>
          <w:bCs/>
          <w:color w:val="auto"/>
          <w:sz w:val="24"/>
        </w:rPr>
        <w:t>不得转让业务</w:t>
      </w:r>
      <w:r>
        <w:rPr>
          <w:rFonts w:hint="eastAsia" w:ascii="宋体" w:hAnsi="宋体" w:eastAsia="宋体" w:cs="宋体"/>
          <w:bCs/>
          <w:color w:val="auto"/>
          <w:sz w:val="24"/>
          <w:lang w:eastAsia="zh-CN"/>
        </w:rPr>
        <w:t>。</w:t>
      </w:r>
    </w:p>
    <w:p w14:paraId="5E14AAC8">
      <w:pPr>
        <w:rPr>
          <w:rFonts w:hint="eastAsia"/>
          <w:b/>
          <w:sz w:val="24"/>
          <w:lang w:val="en-US" w:eastAsia="zh-CN"/>
        </w:rPr>
      </w:pPr>
      <w:r>
        <w:rPr>
          <w:rFonts w:hint="eastAsia"/>
          <w:b/>
          <w:sz w:val="24"/>
          <w:lang w:val="en-US" w:eastAsia="zh-CN"/>
        </w:rPr>
        <w:br w:type="page"/>
      </w:r>
    </w:p>
    <w:p w14:paraId="321BE3E1">
      <w:pPr>
        <w:spacing w:line="360" w:lineRule="auto"/>
        <w:jc w:val="left"/>
        <w:rPr>
          <w:rFonts w:hint="eastAsia" w:ascii="宋体" w:hAnsi="宋体" w:eastAsia="宋体" w:cs="宋体"/>
          <w:b/>
          <w:color w:val="auto"/>
          <w:sz w:val="28"/>
          <w:szCs w:val="28"/>
        </w:rPr>
      </w:pPr>
      <w:r>
        <w:rPr>
          <w:rFonts w:hint="eastAsia"/>
          <w:b/>
          <w:sz w:val="24"/>
          <w:lang w:val="en-US" w:eastAsia="zh-CN"/>
        </w:rPr>
        <w:t xml:space="preserve">附件2：                        </w:t>
      </w:r>
      <w:r>
        <w:rPr>
          <w:rFonts w:hint="eastAsia" w:ascii="宋体" w:hAnsi="宋体" w:eastAsia="宋体" w:cs="宋体"/>
          <w:b/>
          <w:color w:val="auto"/>
          <w:sz w:val="28"/>
          <w:szCs w:val="28"/>
        </w:rPr>
        <w:t>服务管理办法</w:t>
      </w:r>
    </w:p>
    <w:p w14:paraId="622E1BAA">
      <w:pPr>
        <w:spacing w:before="156" w:beforeLines="50" w:after="156" w:afterLines="50"/>
        <w:ind w:firstLine="354" w:firstLineChars="147"/>
        <w:jc w:val="center"/>
        <w:rPr>
          <w:rFonts w:ascii="宋体" w:hAnsi="宋体" w:eastAsia="宋体" w:cs="Arial"/>
          <w:b/>
          <w:bCs/>
          <w:color w:val="auto"/>
          <w:sz w:val="24"/>
          <w:szCs w:val="24"/>
        </w:rPr>
      </w:pPr>
      <w:r>
        <w:rPr>
          <w:rFonts w:hint="eastAsia" w:ascii="宋体" w:hAnsi="宋体" w:eastAsia="宋体" w:cs="Arial"/>
          <w:b/>
          <w:bCs/>
          <w:color w:val="auto"/>
          <w:sz w:val="24"/>
          <w:szCs w:val="24"/>
        </w:rPr>
        <w:t>徐州工业职业技术学院外部审计单位遴选与管理办法</w:t>
      </w:r>
    </w:p>
    <w:p w14:paraId="1C0B77BA">
      <w:pPr>
        <w:spacing w:before="312" w:beforeLines="100" w:after="156" w:afterLines="50"/>
        <w:jc w:val="center"/>
        <w:rPr>
          <w:rFonts w:ascii="宋体" w:hAnsi="宋体" w:eastAsia="宋体" w:cs="Arial"/>
          <w:b/>
          <w:bCs/>
          <w:color w:val="auto"/>
          <w:sz w:val="24"/>
          <w:szCs w:val="24"/>
        </w:rPr>
      </w:pPr>
      <w:r>
        <w:rPr>
          <w:rFonts w:hint="eastAsia" w:ascii="宋体" w:hAnsi="宋体" w:eastAsia="宋体" w:cs="Arial"/>
          <w:b/>
          <w:bCs/>
          <w:color w:val="auto"/>
          <w:sz w:val="24"/>
          <w:szCs w:val="24"/>
        </w:rPr>
        <w:t>（徐工职院发</w:t>
      </w:r>
      <w:r>
        <w:rPr>
          <w:rFonts w:ascii="宋体" w:hAnsi="宋体" w:eastAsia="宋体" w:cs="Arial"/>
          <w:b/>
          <w:bCs/>
          <w:color w:val="auto"/>
          <w:sz w:val="24"/>
          <w:szCs w:val="24"/>
        </w:rPr>
        <w:t>201</w:t>
      </w:r>
      <w:r>
        <w:rPr>
          <w:rFonts w:hint="eastAsia" w:ascii="宋体" w:hAnsi="宋体" w:eastAsia="宋体" w:cs="Arial"/>
          <w:b/>
          <w:bCs/>
          <w:color w:val="auto"/>
          <w:sz w:val="24"/>
          <w:szCs w:val="24"/>
        </w:rPr>
        <w:t>7（</w:t>
      </w:r>
      <w:r>
        <w:rPr>
          <w:rFonts w:ascii="宋体" w:hAnsi="宋体" w:eastAsia="宋体" w:cs="Arial"/>
          <w:b/>
          <w:bCs/>
          <w:color w:val="auto"/>
          <w:sz w:val="24"/>
          <w:szCs w:val="24"/>
        </w:rPr>
        <w:t>1</w:t>
      </w:r>
      <w:r>
        <w:rPr>
          <w:rFonts w:hint="eastAsia" w:ascii="宋体" w:hAnsi="宋体" w:eastAsia="宋体" w:cs="Arial"/>
          <w:b/>
          <w:bCs/>
          <w:color w:val="auto"/>
          <w:sz w:val="24"/>
          <w:szCs w:val="24"/>
        </w:rPr>
        <w:t>37）号）</w:t>
      </w:r>
    </w:p>
    <w:p w14:paraId="4C74B66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第一条</w:t>
      </w:r>
      <w:r>
        <w:rPr>
          <w:rFonts w:hint="eastAsia" w:ascii="宋体" w:hAnsi="宋体" w:eastAsia="宋体"/>
          <w:color w:val="auto"/>
          <w:sz w:val="24"/>
          <w:szCs w:val="24"/>
        </w:rPr>
        <w:t xml:space="preserve"> 为了加强对我院财务管理、建设及维修工程项目、内部控制等的审计监督，整合审计资源，保证审计质量，有效控制审计成本，提高资金使用效益，防范审计风险，切实贯彻公开、公正、公平原则，根据《中华人民共和国审计法》、《中华人民共和国国家审计准则》、《审计署聘请外部人员参与审计工作管理办法》、《教育系统内部审计工作规定》和中国内部审计协会《内部审计实务指南第4号—高校内部审计》、《江苏省省属高校建设工程项目审计实施办法》和《江苏省省属高校预算执行和决算审计实施办法》及其他有关法律、法规的规定，结合学院实际，制定本实施办法。</w:t>
      </w:r>
    </w:p>
    <w:p w14:paraId="5E6DE9A4">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第二条</w:t>
      </w:r>
      <w:r>
        <w:rPr>
          <w:rFonts w:hint="eastAsia" w:ascii="宋体" w:hAnsi="宋体" w:eastAsia="宋体"/>
          <w:color w:val="auto"/>
          <w:sz w:val="24"/>
          <w:szCs w:val="24"/>
        </w:rPr>
        <w:t xml:space="preserve"> 本实施办法所指的财务及内部管理类审计业务包括对学院所属部门(单位)的财务收支和决算审计；学院所属部门(单位)的负责人任期经济责任审计、内部控制等其他管理类审计。</w:t>
      </w:r>
    </w:p>
    <w:p w14:paraId="60257EF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本办法所指的工程委托审计业务包括：建设工程跟踪审计；建设及修缮（装饰）工程结算审计；工程预算的审核；标底</w:t>
      </w:r>
      <w:r>
        <w:rPr>
          <w:rFonts w:hint="eastAsia" w:ascii="宋体" w:hAnsi="宋体" w:eastAsia="宋体"/>
          <w:color w:val="auto"/>
          <w:sz w:val="24"/>
          <w:szCs w:val="24"/>
          <w:lang w:val="en-US" w:eastAsia="zh-CN"/>
        </w:rPr>
        <w:t>/招标控制价</w:t>
      </w:r>
      <w:r>
        <w:rPr>
          <w:rFonts w:hint="eastAsia" w:ascii="宋体" w:hAnsi="宋体" w:eastAsia="宋体"/>
          <w:color w:val="auto"/>
          <w:sz w:val="24"/>
          <w:szCs w:val="24"/>
        </w:rPr>
        <w:t>的编制等。</w:t>
      </w:r>
    </w:p>
    <w:p w14:paraId="6A6E11D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第三条</w:t>
      </w:r>
      <w:r>
        <w:rPr>
          <w:rFonts w:hint="eastAsia" w:ascii="宋体" w:hAnsi="宋体" w:eastAsia="宋体"/>
          <w:b/>
          <w:bCs/>
          <w:color w:val="auto"/>
          <w:sz w:val="24"/>
          <w:szCs w:val="24"/>
          <w:lang w:val="en-US" w:eastAsia="zh-CN"/>
        </w:rPr>
        <w:t xml:space="preserve"> </w:t>
      </w:r>
      <w:r>
        <w:rPr>
          <w:rFonts w:hint="eastAsia" w:ascii="宋体" w:hAnsi="宋体" w:eastAsia="宋体"/>
          <w:color w:val="auto"/>
          <w:sz w:val="24"/>
          <w:szCs w:val="24"/>
        </w:rPr>
        <w:t>工程委托审计由审计处负责组织实施。审计处本着科学合理、操作规范、便于管理的原则，对委托审计事项实行建立中标入围单位库的方式进行。</w:t>
      </w:r>
    </w:p>
    <w:p w14:paraId="44549F2D">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对于单项工程造价达500万元（含500万元）以上的工程项目，实施全过程跟踪审计，并采取单独招标的方式。在学院批准工程立项后，由审计处提出全过程审计招标申请，招投标管理部门实施招标。</w:t>
      </w:r>
    </w:p>
    <w:p w14:paraId="02077DF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单项工程造价500万元以下工程的跟踪审计单位可从入围单位库中选取。</w:t>
      </w:r>
    </w:p>
    <w:p w14:paraId="53C42DDA">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第四条</w:t>
      </w:r>
      <w:r>
        <w:rPr>
          <w:rFonts w:hint="eastAsia" w:ascii="宋体" w:hAnsi="宋体" w:eastAsia="宋体"/>
          <w:color w:val="auto"/>
          <w:sz w:val="24"/>
          <w:szCs w:val="24"/>
        </w:rPr>
        <w:t xml:space="preserve"> 委托审计入围单位库，采用招标方式形成，原则上每</w:t>
      </w:r>
      <w:r>
        <w:rPr>
          <w:rFonts w:hint="eastAsia" w:ascii="宋体" w:hAnsi="宋体" w:eastAsia="宋体"/>
          <w:color w:val="auto"/>
          <w:sz w:val="24"/>
          <w:szCs w:val="24"/>
          <w:lang w:val="en-US" w:eastAsia="zh-CN"/>
        </w:rPr>
        <w:t>两</w:t>
      </w:r>
      <w:r>
        <w:rPr>
          <w:rFonts w:hint="eastAsia" w:ascii="宋体" w:hAnsi="宋体" w:eastAsia="宋体"/>
          <w:color w:val="auto"/>
          <w:sz w:val="24"/>
          <w:szCs w:val="24"/>
        </w:rPr>
        <w:t>年招标一次。入围单位的数量由审计处根据工作发展的需要，报请院领导批示后确定。对中标入围单位实行动态考核淘汰机制，当淘汰后的各类审计入围单位不足2家（含2家）时，适时招标补充入围单位或重新招标。</w:t>
      </w:r>
    </w:p>
    <w:p w14:paraId="680BC26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第五条</w:t>
      </w:r>
      <w:r>
        <w:rPr>
          <w:rFonts w:hint="eastAsia" w:ascii="宋体" w:hAnsi="宋体" w:eastAsia="宋体"/>
          <w:color w:val="auto"/>
          <w:sz w:val="24"/>
          <w:szCs w:val="24"/>
        </w:rPr>
        <w:t xml:space="preserve"> 审计处按照公平、公正的原则，安排具体委托审计项目。初次安排审计项目，按中标先后顺序，入围单位机会均等；再次安排审计项目，根据两个及以上部门对已完项目质量考核情况、审计费率，综合考虑，择优选用。选择使用入围单位时，审计项目预计支付的审计费用金额低于50000元的，经审计处长审批选用；达到或超过50000元的，还需经院长审批。</w:t>
      </w:r>
    </w:p>
    <w:p w14:paraId="6C67AA5F">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第六条</w:t>
      </w:r>
      <w:r>
        <w:rPr>
          <w:rFonts w:hint="eastAsia" w:ascii="宋体" w:hAnsi="宋体" w:eastAsia="宋体"/>
          <w:color w:val="auto"/>
          <w:sz w:val="24"/>
          <w:szCs w:val="24"/>
        </w:rPr>
        <w:t xml:space="preserve"> 委托审计项目确定后，由审计处下达项目委托书，接受任务单位须向审计处报送审计方案及审计项目组成员名单，经审计处同意后备案，并及时与领受任务单位办理审计资料交接，督促审计单位认真履行合同。审计费用按照招标确定的费率计算支付。</w:t>
      </w:r>
    </w:p>
    <w:p w14:paraId="22DEB825">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第七条 </w:t>
      </w:r>
      <w:r>
        <w:rPr>
          <w:rFonts w:hint="eastAsia" w:ascii="宋体" w:hAnsi="宋体" w:eastAsia="宋体"/>
          <w:color w:val="auto"/>
          <w:sz w:val="24"/>
          <w:szCs w:val="24"/>
        </w:rPr>
        <w:t>审计处要加强对委托审计项目的质量管理，指定内部审计项目负责人，由其负责对委托审计项目的质量进行控制和考核。考核的主要内容包括：</w:t>
      </w:r>
    </w:p>
    <w:p w14:paraId="25DF9F9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（一）审计单位在学院审计期间遵守学院规章制度情况；</w:t>
      </w:r>
    </w:p>
    <w:p w14:paraId="62F45CB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（二）主审人员的执业资格和工作态度及水平；</w:t>
      </w:r>
    </w:p>
    <w:p w14:paraId="54B350C3">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（三）审计单位的审计质量控制体系及措施；</w:t>
      </w:r>
    </w:p>
    <w:p w14:paraId="36694781">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（四）初审报告及审计报告的及时性；</w:t>
      </w:r>
    </w:p>
    <w:p w14:paraId="2C47DD7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（五）财务审计审定资料、数据或工程结算审定金额的准确性；</w:t>
      </w:r>
    </w:p>
    <w:p w14:paraId="48C0CCC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（六）审计报告质量及审计意见、建议的准确性和建设性；</w:t>
      </w:r>
    </w:p>
    <w:p w14:paraId="663AEC97">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（七）审计单位的廉政措施及审计人员的廉政情况。    </w:t>
      </w:r>
    </w:p>
    <w:p w14:paraId="10596570">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第八条 </w:t>
      </w:r>
      <w:r>
        <w:rPr>
          <w:rFonts w:hint="eastAsia" w:ascii="宋体" w:hAnsi="宋体" w:eastAsia="宋体"/>
          <w:color w:val="auto"/>
          <w:sz w:val="24"/>
          <w:szCs w:val="24"/>
        </w:rPr>
        <w:t>审计处每年底视情况根据对审计单位的考核结果，提出淘汰不合格外部审计单位的书面建议，提交招标领导小组讨论确定。</w:t>
      </w:r>
    </w:p>
    <w:p w14:paraId="0EDD1ED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第九条 </w:t>
      </w:r>
      <w:r>
        <w:rPr>
          <w:rFonts w:hint="eastAsia" w:ascii="宋体" w:hAnsi="宋体" w:eastAsia="宋体"/>
          <w:color w:val="auto"/>
          <w:sz w:val="24"/>
          <w:szCs w:val="24"/>
        </w:rPr>
        <w:t>入围审计单位有下列情形之一的，可考虑认定为不合格审计单位：</w:t>
      </w:r>
    </w:p>
    <w:p w14:paraId="55586454">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（一）不能按照约定派出审计项目负责人或造价工程师；</w:t>
      </w:r>
    </w:p>
    <w:p w14:paraId="02140B6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（二）将审计业务转让其他审计单位实施；</w:t>
      </w:r>
    </w:p>
    <w:p w14:paraId="2549112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（三）不能按照约定时间完成审计任务；</w:t>
      </w:r>
    </w:p>
    <w:p w14:paraId="2EED6B8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（四）不服从内部审计项目负责人管理和协调；</w:t>
      </w:r>
    </w:p>
    <w:p w14:paraId="68F3341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（五）审计质量较差，工程审计初审报告差错率大于5%；</w:t>
      </w:r>
    </w:p>
    <w:p w14:paraId="536BE576">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（六）审计人员有违法违纪及作弊、不廉洁行为等。</w:t>
      </w:r>
    </w:p>
    <w:p w14:paraId="3727734F">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第十条</w:t>
      </w:r>
      <w:r>
        <w:rPr>
          <w:rFonts w:hint="eastAsia" w:ascii="宋体" w:hAnsi="宋体" w:eastAsia="宋体"/>
          <w:color w:val="auto"/>
          <w:sz w:val="24"/>
          <w:szCs w:val="24"/>
        </w:rPr>
        <w:t xml:space="preserve"> 本办法由审计处负责解释。</w:t>
      </w:r>
    </w:p>
    <w:p w14:paraId="6EE00EF4">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第十一条</w:t>
      </w:r>
      <w:r>
        <w:rPr>
          <w:rFonts w:hint="eastAsia" w:ascii="宋体" w:hAnsi="宋体" w:eastAsia="宋体"/>
          <w:color w:val="auto"/>
          <w:sz w:val="24"/>
          <w:szCs w:val="24"/>
        </w:rPr>
        <w:t xml:space="preserve"> 本办法自发布之日起执行。原《徐州工业职业技术学院参与审计中介机构遴选管理办法（试行）》[院发2012（102）号]同时废止。</w:t>
      </w:r>
    </w:p>
    <w:p w14:paraId="301583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56A81"/>
    <w:multiLevelType w:val="singleLevel"/>
    <w:tmpl w:val="94256A81"/>
    <w:lvl w:ilvl="0" w:tentative="0">
      <w:start w:val="4"/>
      <w:numFmt w:val="decimal"/>
      <w:suff w:val="nothing"/>
      <w:lvlText w:val="（%1）"/>
      <w:lvlJc w:val="left"/>
    </w:lvl>
  </w:abstractNum>
  <w:abstractNum w:abstractNumId="1">
    <w:nsid w:val="11976306"/>
    <w:multiLevelType w:val="singleLevel"/>
    <w:tmpl w:val="11976306"/>
    <w:lvl w:ilvl="0" w:tentative="0">
      <w:start w:val="4"/>
      <w:numFmt w:val="decimal"/>
      <w:suff w:val="nothing"/>
      <w:lvlText w:val="%1、"/>
      <w:lvlJc w:val="left"/>
    </w:lvl>
  </w:abstractNum>
  <w:abstractNum w:abstractNumId="2">
    <w:nsid w:val="601D59AA"/>
    <w:multiLevelType w:val="singleLevel"/>
    <w:tmpl w:val="601D59AA"/>
    <w:lvl w:ilvl="0" w:tentative="0">
      <w:start w:val="1"/>
      <w:numFmt w:val="chineseCounting"/>
      <w:suff w:val="nothing"/>
      <w:lvlText w:val="%1、"/>
      <w:lvlJc w:val="left"/>
      <w:rPr>
        <w:rFonts w:hint="eastAsia"/>
      </w:rPr>
    </w:lvl>
  </w:abstractNum>
  <w:abstractNum w:abstractNumId="3">
    <w:nsid w:val="732A07C5"/>
    <w:multiLevelType w:val="singleLevel"/>
    <w:tmpl w:val="732A07C5"/>
    <w:lvl w:ilvl="0" w:tentative="0">
      <w:start w:val="10"/>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44C09"/>
    <w:rsid w:val="061957B0"/>
    <w:rsid w:val="0B4E1937"/>
    <w:rsid w:val="0B5A69D5"/>
    <w:rsid w:val="0D944C09"/>
    <w:rsid w:val="0F1F7B2B"/>
    <w:rsid w:val="0F9221C8"/>
    <w:rsid w:val="11EE03DD"/>
    <w:rsid w:val="131816EC"/>
    <w:rsid w:val="161D2DEC"/>
    <w:rsid w:val="17083E64"/>
    <w:rsid w:val="1A9E473D"/>
    <w:rsid w:val="1BD344C7"/>
    <w:rsid w:val="1F6410B2"/>
    <w:rsid w:val="203263BE"/>
    <w:rsid w:val="20C05FF8"/>
    <w:rsid w:val="21661111"/>
    <w:rsid w:val="22326947"/>
    <w:rsid w:val="22C15BAE"/>
    <w:rsid w:val="24EE7D9B"/>
    <w:rsid w:val="25AB4428"/>
    <w:rsid w:val="271861CA"/>
    <w:rsid w:val="2A38437A"/>
    <w:rsid w:val="2A961199"/>
    <w:rsid w:val="2CF176F6"/>
    <w:rsid w:val="2E0F6425"/>
    <w:rsid w:val="2E70006D"/>
    <w:rsid w:val="2EBA6F40"/>
    <w:rsid w:val="305C1465"/>
    <w:rsid w:val="335C61EE"/>
    <w:rsid w:val="35611EC4"/>
    <w:rsid w:val="37282EA8"/>
    <w:rsid w:val="381A520E"/>
    <w:rsid w:val="38A00BFD"/>
    <w:rsid w:val="397411E8"/>
    <w:rsid w:val="3A330458"/>
    <w:rsid w:val="3B7A5A8D"/>
    <w:rsid w:val="3BA6290D"/>
    <w:rsid w:val="3BB6241E"/>
    <w:rsid w:val="3BCD19E7"/>
    <w:rsid w:val="3C273727"/>
    <w:rsid w:val="3C6121E3"/>
    <w:rsid w:val="3CD92E0E"/>
    <w:rsid w:val="3D430101"/>
    <w:rsid w:val="40571A7E"/>
    <w:rsid w:val="40E73EFB"/>
    <w:rsid w:val="422A24F9"/>
    <w:rsid w:val="432B58BF"/>
    <w:rsid w:val="4590612D"/>
    <w:rsid w:val="4638596E"/>
    <w:rsid w:val="472E49FD"/>
    <w:rsid w:val="47C167F2"/>
    <w:rsid w:val="4857071F"/>
    <w:rsid w:val="49155047"/>
    <w:rsid w:val="4E6A2496"/>
    <w:rsid w:val="4FBD27C6"/>
    <w:rsid w:val="525F6B7D"/>
    <w:rsid w:val="54650289"/>
    <w:rsid w:val="55161546"/>
    <w:rsid w:val="55280C5A"/>
    <w:rsid w:val="56D0131A"/>
    <w:rsid w:val="57904CAD"/>
    <w:rsid w:val="595368D6"/>
    <w:rsid w:val="5A476947"/>
    <w:rsid w:val="5AFE3CA1"/>
    <w:rsid w:val="5B1A4434"/>
    <w:rsid w:val="5CF54B1C"/>
    <w:rsid w:val="5F180F96"/>
    <w:rsid w:val="609D3582"/>
    <w:rsid w:val="634D6CB0"/>
    <w:rsid w:val="64763058"/>
    <w:rsid w:val="6525440C"/>
    <w:rsid w:val="65804A89"/>
    <w:rsid w:val="69335C12"/>
    <w:rsid w:val="6B4D0219"/>
    <w:rsid w:val="6CC52349"/>
    <w:rsid w:val="6F1E7F02"/>
    <w:rsid w:val="74B27ED1"/>
    <w:rsid w:val="74F4002B"/>
    <w:rsid w:val="7B340AAD"/>
    <w:rsid w:val="7CD441EF"/>
    <w:rsid w:val="7EF7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val="0"/>
      <w:spacing w:line="240" w:lineRule="auto"/>
      <w:textAlignment w:val="auto"/>
    </w:pPr>
    <w:rPr>
      <w:rFonts w:ascii="宋体" w:hAnsi="Courier New"/>
      <w:color w:val="auto"/>
      <w:kern w:val="2"/>
      <w:u w:val="none" w:color="auto"/>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5"/>
      <w:szCs w:val="1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6700</Words>
  <Characters>6842</Characters>
  <Lines>0</Lines>
  <Paragraphs>0</Paragraphs>
  <TotalTime>6</TotalTime>
  <ScaleCrop>false</ScaleCrop>
  <LinksUpToDate>false</LinksUpToDate>
  <CharactersWithSpaces>7009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2025-11-18T02:29:00Z</dcterms:created>
  <dc:creator>蜗牛姑娘</dc:creator>
  <cp:lastModifiedBy>蜗牛姑娘</cp:lastModifiedBy>
  <dcterms:modified xsi:type="dcterms:W3CDTF">2025-12-29T09:05:51Z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8EC753578AA847C68E4E1C492A7C9784_13</vt:lpwstr>
  </property>
  <property fmtid="{D5CDD505-2E9C-101B-9397-08002B2CF9AE}" pid="4" name="KSOTemplateDocerSaveRecord">
    <vt:lpwstr>eyJoZGlkIjoiM2Q3MzIxZjgyMGFhZGUyMTk1YmQ1NTYwYWM2ZjIyMzYiLCJ1c2VySWQiOiI2NzIwMzIyMDIifQ==</vt:lpwstr>
  </property>
</Properties>
</file>