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b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91820" cy="591820"/>
            <wp:effectExtent l="0" t="0" r="17780" b="17780"/>
            <wp:docPr id="4" name="图片 2" descr="C:\Users\Lenovo\Desktop\学校图标.jpg学校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Lenovo\Desktop\学校图标.jpg学校图标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4519930" cy="485140"/>
            <wp:effectExtent l="0" t="0" r="13970" b="1016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b/>
          <w:sz w:val="48"/>
          <w:szCs w:val="48"/>
        </w:rPr>
      </w:pPr>
    </w:p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sz w:val="52"/>
          <w:szCs w:val="52"/>
        </w:rPr>
        <w:t>工</w:t>
      </w:r>
    </w:p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sz w:val="52"/>
          <w:szCs w:val="52"/>
        </w:rPr>
        <w:t>作</w:t>
      </w:r>
    </w:p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sz w:val="52"/>
          <w:szCs w:val="52"/>
        </w:rPr>
        <w:t>总</w:t>
      </w:r>
    </w:p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sz w:val="52"/>
          <w:szCs w:val="52"/>
        </w:rPr>
        <w:t>结</w:t>
      </w:r>
    </w:p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b/>
          <w:sz w:val="52"/>
          <w:szCs w:val="52"/>
        </w:rPr>
      </w:pPr>
    </w:p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b/>
          <w:bCs/>
          <w:sz w:val="4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2"/>
          <w:szCs w:val="32"/>
        </w:rPr>
        <w:t>基建修缮科</w:t>
      </w:r>
    </w:p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b/>
          <w:bCs/>
          <w:sz w:val="4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2"/>
          <w:szCs w:val="32"/>
        </w:rPr>
        <w:t>2019年度</w:t>
      </w:r>
    </w:p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2"/>
        </w:rPr>
      </w:pPr>
    </w:p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2"/>
        </w:rPr>
      </w:pPr>
    </w:p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2"/>
        </w:rPr>
      </w:pPr>
    </w:p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2"/>
        </w:rPr>
      </w:pPr>
    </w:p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2"/>
        </w:rPr>
      </w:pP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2019年，工程修建科在国有资产管理与后勤服务中心的正确领导下，在与其他科室的密切配合下，深入贯彻落实科学发展观，紧密围绕“严格程序、规范管理、保证质量、提高效率”的目标任务，从加强财务管理着手，严把预决算审查质量关，不断提高财政资金使用效益。经过一年来科室全体同志的共同努力，如期完成了年度计划工作内容，取得了较好的工作成效，现将一年来的主要工作汇报如下：</w:t>
      </w:r>
      <w:bookmarkStart w:id="1" w:name="_GoBack"/>
      <w:bookmarkEnd w:id="1"/>
    </w:p>
    <w:p>
      <w:pPr>
        <w:numPr>
          <w:ilvl w:val="0"/>
          <w:numId w:val="1"/>
        </w:num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建立健全规章制度，规范完善项目约束机制</w:t>
      </w:r>
    </w:p>
    <w:p>
      <w:pPr>
        <w:pStyle w:val="9"/>
        <w:ind w:firstLine="560" w:firstLineChars="200"/>
        <w:jc w:val="left"/>
        <w:rPr>
          <w:rFonts w:asciiTheme="minorEastAsia" w:hAnsiTheme="minorEastAsia" w:eastAsiaTheme="minorEastAsia" w:cstheme="minorEastAsia"/>
          <w:b w:val="0"/>
          <w:bCs w:val="0"/>
          <w:color w:val="auto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4"/>
        </w:rPr>
        <w:t>以建立健全规章制度为抓手，规范完善建设工程、修缮工程管理办法。一是重新修订了《</w:t>
      </w:r>
      <w:bookmarkStart w:id="0" w:name="_Toc375227643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4"/>
        </w:rPr>
        <w:t>徐州工业职业技术学院基本建设管理办法（试行）</w:t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4"/>
        </w:rPr>
        <w:t>》、《徐州工业职业技术学院工程项目变更及签证管理办法（试行）》及《徐州工业职业技术学院修缮及小型基建工程项目管理规定》。二是制定针对性的风险点、控制措施及管理流程图。以上工作推进了日常管理的科学化、精细化，进一步规范了日常管理工作。</w:t>
      </w:r>
    </w:p>
    <w:p>
      <w:pPr>
        <w:numPr>
          <w:ilvl w:val="0"/>
          <w:numId w:val="1"/>
        </w:num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强化项目预结算审核，强化项目资金管理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科室严格加强对项目资金的管理，规范资金审核程序，对工程实际完成工程量进行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逐项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>审核，确保资金精确、安全、高效运行。2019年度共送审计处项目124项，造价约430万元。</w:t>
      </w:r>
    </w:p>
    <w:p>
      <w:pPr>
        <w:numPr>
          <w:ilvl w:val="0"/>
          <w:numId w:val="1"/>
        </w:num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注重项目全过程监管，提升项目管理水平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为有效控制工程造价，提升项目管理水平，科室监管重心前移，注重事前事中监管，有效推动了项目进展，提高了资金使用效率。从项目前期立项到最终审核全过程，科室积极主动参与，配合使用单位解决实际问题，全力推进项目建设进程。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四、本年度工作任务完成情况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（一）年度重点工作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1、完成中德屋面工程实训中心建设任务；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2、完成规划修编设计任务，按照省教育厅要求，等待审查审核；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3、推进青年教师周转公寓的开工手续，保证青年教师周转公寓如期开工。持续规范管理，在徐州市大气管控严厉之下，协调继续施工，实属不易，目前已借助徐州市地铁轨道名义要来混凝土并浇筑完毕。按照学校要求，完成地上三层的建设任务。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>、持续定期开展党风廉政建设专题会议，逐项落实规章制度，全面贯彻把权力关进制度的笼子里的指导思想，寻找新的廉政风险点，并思考用制度疏堵；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（二）年度日常工作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1、校园各楼宇外立面瓷砖脱落排查，对存在隐患处及时处理；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2、B07/B08屋面防水工程及风机架更换；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3、教职工餐厅的翻新改造工程；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4、供暖前期的地下管网检查及维修工作；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5、老校区家属院水表出户改造工作；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6、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学校南围墙修复工作；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7、配合二级学院完成了试验室建设14项，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8、小型工程共计约240万元，共计132项。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9、C03/C04学生宿舍楼消防管道更换；</w:t>
      </w:r>
    </w:p>
    <w:p>
      <w:pPr>
        <w:spacing w:after="0"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10、完成日常维修及应急抢修任务；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>、完成了2019年度宿舍改造工作，全面完成宿舍空调线路改造任务，为提高学生住宿条件，提高学生满意率奠定了良好基础。</w:t>
      </w:r>
    </w:p>
    <w:p>
      <w:pPr>
        <w:spacing w:after="0"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在新的一年里，全科室人员将在中心的领导下，进一步解放思想，振奋精神，转变工作作风，提高服务意识，增强全局观念，为全校师生提供更好的服务。</w:t>
      </w:r>
    </w:p>
    <w:p>
      <w:pPr>
        <w:spacing w:after="0" w:line="360" w:lineRule="auto"/>
        <w:jc w:val="righ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工程修建科</w:t>
      </w:r>
    </w:p>
    <w:p>
      <w:pPr>
        <w:spacing w:after="0" w:line="360" w:lineRule="auto"/>
        <w:jc w:val="righ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2019.12.5</w:t>
      </w:r>
    </w:p>
    <w:sectPr>
      <w:pgSz w:w="11906" w:h="16838"/>
      <w:pgMar w:top="1440" w:right="1800" w:bottom="1440" w:left="180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CBB1"/>
    <w:multiLevelType w:val="singleLevel"/>
    <w:tmpl w:val="5B7ECB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1FC6"/>
    <w:rsid w:val="000E6C11"/>
    <w:rsid w:val="00163A2D"/>
    <w:rsid w:val="00180098"/>
    <w:rsid w:val="001955C2"/>
    <w:rsid w:val="00323B43"/>
    <w:rsid w:val="003320DA"/>
    <w:rsid w:val="003D37D8"/>
    <w:rsid w:val="00426133"/>
    <w:rsid w:val="004358AB"/>
    <w:rsid w:val="0046092E"/>
    <w:rsid w:val="0056613E"/>
    <w:rsid w:val="0066477B"/>
    <w:rsid w:val="00783453"/>
    <w:rsid w:val="0078364E"/>
    <w:rsid w:val="008B7726"/>
    <w:rsid w:val="00914F0A"/>
    <w:rsid w:val="0098735A"/>
    <w:rsid w:val="009A6649"/>
    <w:rsid w:val="009D47F4"/>
    <w:rsid w:val="009F0C7A"/>
    <w:rsid w:val="00A56002"/>
    <w:rsid w:val="00A60291"/>
    <w:rsid w:val="00A67325"/>
    <w:rsid w:val="00C0681C"/>
    <w:rsid w:val="00C10641"/>
    <w:rsid w:val="00D31D50"/>
    <w:rsid w:val="00E4436C"/>
    <w:rsid w:val="00E631CF"/>
    <w:rsid w:val="00F131CB"/>
    <w:rsid w:val="00F559EB"/>
    <w:rsid w:val="00F82606"/>
    <w:rsid w:val="00F85685"/>
    <w:rsid w:val="00FA70A6"/>
    <w:rsid w:val="00FF7B6D"/>
    <w:rsid w:val="032B5975"/>
    <w:rsid w:val="075615FF"/>
    <w:rsid w:val="0CBC6A0A"/>
    <w:rsid w:val="14A50010"/>
    <w:rsid w:val="19282011"/>
    <w:rsid w:val="1BBC0EEC"/>
    <w:rsid w:val="1F052B6A"/>
    <w:rsid w:val="22006139"/>
    <w:rsid w:val="29AA61DE"/>
    <w:rsid w:val="39AD4063"/>
    <w:rsid w:val="3B507C5D"/>
    <w:rsid w:val="43DD7262"/>
    <w:rsid w:val="488021B2"/>
    <w:rsid w:val="4FE324F5"/>
    <w:rsid w:val="51000E68"/>
    <w:rsid w:val="54E230B8"/>
    <w:rsid w:val="58FC4ED0"/>
    <w:rsid w:val="58FF6422"/>
    <w:rsid w:val="634F636E"/>
    <w:rsid w:val="650D56C8"/>
    <w:rsid w:val="66663288"/>
    <w:rsid w:val="6759177E"/>
    <w:rsid w:val="71026F9E"/>
    <w:rsid w:val="73132DC1"/>
    <w:rsid w:val="737D7199"/>
    <w:rsid w:val="7561329C"/>
    <w:rsid w:val="7577249D"/>
    <w:rsid w:val="7A58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11111大标题"/>
    <w:basedOn w:val="1"/>
    <w:uiPriority w:val="0"/>
    <w:pPr>
      <w:spacing w:before="156" w:after="156" w:line="360" w:lineRule="auto"/>
      <w:jc w:val="center"/>
      <w:outlineLvl w:val="0"/>
    </w:pPr>
    <w:rPr>
      <w:rFonts w:ascii="宋体" w:hAnsi="宋体" w:cs="宋体"/>
      <w:b/>
      <w:bCs/>
      <w:color w:val="000000"/>
      <w:sz w:val="32"/>
    </w:rPr>
  </w:style>
  <w:style w:type="character" w:customStyle="1" w:styleId="10">
    <w:name w:val="批注框文本 Char"/>
    <w:basedOn w:val="6"/>
    <w:link w:val="2"/>
    <w:semiHidden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197</Words>
  <Characters>1124</Characters>
  <Lines>9</Lines>
  <Paragraphs>2</Paragraphs>
  <TotalTime>1</TotalTime>
  <ScaleCrop>false</ScaleCrop>
  <LinksUpToDate>false</LinksUpToDate>
  <CharactersWithSpaces>1319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寶兒1373550034</cp:lastModifiedBy>
  <cp:lastPrinted>2019-12-18T03:39:00Z</cp:lastPrinted>
  <dcterms:modified xsi:type="dcterms:W3CDTF">2019-12-19T00:43:35Z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